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CF" w:rsidRPr="00FE4CCF" w:rsidRDefault="00FE4CCF" w:rsidP="00FE4CCF">
      <w:pPr>
        <w:pStyle w:val="Standard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</w:t>
      </w:r>
      <w:r w:rsidRPr="00FE4CCF">
        <w:rPr>
          <w:lang w:val="ru-RU"/>
        </w:rPr>
        <w:t>Санкт-Петербургский государственный политехнический университет</w:t>
      </w:r>
    </w:p>
    <w:p w:rsidR="00FE4CCF" w:rsidRPr="00FE4CCF" w:rsidRDefault="00FE4CCF" w:rsidP="00FE4CCF">
      <w:pPr>
        <w:pStyle w:val="Standard"/>
        <w:rPr>
          <w:lang w:val="ru-RU"/>
        </w:rPr>
      </w:pPr>
      <w:r w:rsidRPr="00FE4CCF">
        <w:rPr>
          <w:lang w:val="ru-RU"/>
        </w:rPr>
        <w:t xml:space="preserve">                                      Институт </w:t>
      </w:r>
      <w:proofErr w:type="spellStart"/>
      <w:r w:rsidRPr="00FE4CCF">
        <w:rPr>
          <w:lang w:val="ru-RU"/>
        </w:rPr>
        <w:t>металлургии</w:t>
      </w:r>
      <w:proofErr w:type="gramStart"/>
      <w:r w:rsidRPr="00FE4CCF">
        <w:rPr>
          <w:lang w:val="ru-RU"/>
        </w:rPr>
        <w:t>,м</w:t>
      </w:r>
      <w:proofErr w:type="gramEnd"/>
      <w:r w:rsidRPr="00FE4CCF">
        <w:rPr>
          <w:lang w:val="ru-RU"/>
        </w:rPr>
        <w:t>ашиностроения</w:t>
      </w:r>
      <w:proofErr w:type="spellEnd"/>
      <w:r w:rsidRPr="00FE4CCF">
        <w:rPr>
          <w:lang w:val="ru-RU"/>
        </w:rPr>
        <w:t xml:space="preserve"> и транспорта</w:t>
      </w:r>
    </w:p>
    <w:p w:rsidR="00FE4CCF" w:rsidRPr="00FE4CCF" w:rsidRDefault="00FE4CCF" w:rsidP="00FE4CCF">
      <w:pPr>
        <w:pStyle w:val="Standard"/>
        <w:rPr>
          <w:lang w:val="ru-RU"/>
        </w:rPr>
      </w:pPr>
      <w:r w:rsidRPr="00FE4CCF">
        <w:rPr>
          <w:lang w:val="ru-RU"/>
        </w:rPr>
        <w:t xml:space="preserve">                                          Кафедра технологии и исследования материалов</w:t>
      </w: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jc w:val="center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 xml:space="preserve">                   </w:t>
      </w:r>
      <w:r>
        <w:rPr>
          <w:sz w:val="30"/>
          <w:szCs w:val="30"/>
          <w:lang w:val="ru-RU"/>
        </w:rPr>
        <w:t>Доклад на тему: « Удельная теплоемкость и энтальпия»</w:t>
      </w: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>Работу выполнил                                                                                 Злобин Ф.А</w:t>
      </w:r>
    </w:p>
    <w:p w:rsid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гр. 33314</w:t>
      </w:r>
      <w:r w:rsidRPr="00FE4CCF">
        <w:rPr>
          <w:lang w:val="ru-RU"/>
        </w:rPr>
        <w:t>/1</w:t>
      </w: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P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>Работу проверил                                                                                  Новиков Е.В.</w:t>
      </w:r>
    </w:p>
    <w:p w:rsid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 xml:space="preserve">                      </w:t>
      </w: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</w:p>
    <w:p w:rsidR="00FE4CCF" w:rsidRDefault="00FE4CCF" w:rsidP="00FE4CC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Санкт-Петербург</w:t>
      </w:r>
    </w:p>
    <w:p w:rsidR="00DD62F9" w:rsidRDefault="00FE4CCF" w:rsidP="003D6765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2014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lastRenderedPageBreak/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количество теплоты, затрачиваемое для изменения температуры на 1°С. Согласно более строгому определению,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- термодинамическая величина, определяемая выражением: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61593396" wp14:editId="361CDA0F">
            <wp:extent cx="2473828" cy="361216"/>
            <wp:effectExtent l="0" t="0" r="3175" b="1270"/>
            <wp:docPr id="71" name="Рисунок 71" descr="http://www.chemport.ru/data/chemipedia/imgs/410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chemport.ru/data/chemipedia/imgs/4104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28" cy="3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где Δ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- количество теплоты, сообщенное системе и вызвавшее изменение ее температуры на </w:t>
      </w:r>
      <w:r w:rsidR="003059BE" w:rsidRPr="00B468C5">
        <w:rPr>
          <w:rFonts w:ascii="Cambria Math" w:eastAsia="Times New Roman" w:hAnsi="Cambria Math" w:cs="Times New Roman"/>
          <w:color w:val="00B050"/>
          <w:sz w:val="24"/>
          <w:szCs w:val="24"/>
          <w:lang w:eastAsia="ru-RU"/>
        </w:rPr>
        <w:t>𝛥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T. Отношение конечных разностей Δ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/ΔТ называется средней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</w:t>
      </w:r>
      <w:r w:rsidR="003059BE"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ь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ю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отношение бесконечно малых величин d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Q/dT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- истинной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</w:t>
      </w:r>
      <w:r w:rsidR="003059BE"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ь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ю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Поскольку d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не является полным диффер</w:t>
      </w:r>
      <w:r w:rsidR="003059BE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енциалом функции состояния, то </w:t>
      </w:r>
      <w:r w:rsidR="003059BE"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зависит от пути перехода между двумя состояниями системы. Различают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системы в целом (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Дж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/К), удельную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[Дж/(г·К)], молярную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[Дж/(моль·К)]. Во всех ниже приведенных формулах использованы молярные величины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</w:t>
      </w:r>
      <w:hyperlink r:id="rId7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второго начала термодинамики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следует, что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пропорциональна производной от </w:t>
      </w:r>
      <w:hyperlink r:id="rId8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энтропии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системы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температуре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постоянстве внешней силы или термодинамической координаты (обозначается индексом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7B613" wp14:editId="3D81027F">
            <wp:extent cx="2445488" cy="172872"/>
            <wp:effectExtent l="0" t="0" r="0" b="0"/>
            <wp:docPr id="70" name="Рисунок 70" descr="http://www.chemport.ru/data/chemipedia/imgs/4104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chemport.ru/data/chemipedia/imgs/4104-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39" cy="17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Наиболее важными видами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являются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C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при постоянном объеме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и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р</w:t>
      </w:r>
      <w:r w:rsidR="003059BE"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 xml:space="preserve"> 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постоянном </w:t>
      </w:r>
      <w:hyperlink r:id="rId10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давлении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proofErr w:type="gramStart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р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: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=(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∂U/∂T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=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T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∂S/∂T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, С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р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=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∂Н/∂Т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р</w:t>
      </w:r>
      <w:proofErr w:type="gramEnd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=Т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∂S/∂Т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р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где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U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- внутренняя энергия,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H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- энтальпия системы. Значения </w:t>
      </w:r>
      <w:proofErr w:type="gramStart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р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и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связаны соотношением: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984E7" wp14:editId="347C3F53">
            <wp:extent cx="2923953" cy="342595"/>
            <wp:effectExtent l="0" t="0" r="0" b="635"/>
            <wp:docPr id="69" name="Рисунок 69" descr="http://www.chemport.ru/data/chemipedia/imgs/4104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chemport.ru/data/chemipedia/imgs/4104-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53" cy="3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a=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(∂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/∂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коэффициент термического расширения,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=—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(∂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∂р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коэффициент изотермической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сжимаемости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по условиям устойчивости фаз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&gt;0 и (∂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∂р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&lt;0, то согласно (3)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&gt;C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естественно, т.к. при изобарическом нагревании часть тепла, помимо увеличения внутренней энергии системы, идет на работу расширения. Для </w:t>
      </w:r>
      <w:hyperlink r:id="rId13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идеальных газов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(∂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∂V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T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=0 и учет уравнения состояния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pV=RT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 к соотношению: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p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-C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газовая постоянная). Для адиабатического процесса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059BE" w:rsidRDefault="003059BE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3D6765" w:rsidRPr="003D6765" w:rsidRDefault="003D6765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ТЕПЛОЕМКОСТЬ ГАЗОВ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Вычисление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сводится к вычислению средней энергии теплового движения отдельных молекул, которое складывается из поступательных и вращательных движений молекулы как целого и из колебаний </w:t>
      </w:r>
      <w:hyperlink r:id="rId14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атомов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внутри молекулы. Молярная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одноатомного </w:t>
      </w:r>
      <w:hyperlink r:id="rId15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газа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равна 3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/2 (по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/2 на каждую степень поступательного движения молекулы).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многоатомного </w:t>
      </w:r>
      <w:hyperlink r:id="rId16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газа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 общем случае может быть представлена суммой вкладов от отдельных видов движения - поступательного, вращательного, колебательного.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Поступательная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рассчитывается так же, как для одноатомного газа. Вращательная и в особенности колебательная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должны, как правило, вычисляться на основе квантовой статистики. 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классической статистике, вклады в молярную </w:t>
      </w:r>
      <w:r w:rsidRPr="00B46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расчете на одну степень свободы равны: для вращательного движения </w:t>
      </w:r>
      <w:r w:rsidRPr="00B46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/2, для колебательного движения </w:t>
      </w:r>
      <w:r w:rsidRPr="00B46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большинства </w:t>
      </w:r>
      <w:hyperlink r:id="rId17" w:history="1">
        <w:r w:rsidRPr="00B46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молекул</w:t>
        </w:r>
      </w:hyperlink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низких и средних температурах колебательные степени свободы вырождены и не дают вклада в </w:t>
      </w:r>
      <w:r w:rsidRPr="00B46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proofErr w:type="gramStart"/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59BE"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3059BE"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апример,</w:t>
      </w:r>
      <w:r w:rsidR="003059BE" w:rsidRPr="00B46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теплоёмкость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двухатомного </w:t>
      </w:r>
      <w:hyperlink r:id="rId18" w:history="1">
        <w:r w:rsidRPr="00B468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газа</w:t>
        </w:r>
      </w:hyperlink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обычных температурах равна 5</w:t>
      </w:r>
      <w:r w:rsidRPr="00B46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sz w:val="24"/>
          <w:szCs w:val="24"/>
          <w:lang w:eastAsia="ru-RU"/>
        </w:rPr>
        <w:t>/2. Лишь при достаточно высоких температурах возбуждаются колебания определенной частоты.</w:t>
      </w:r>
    </w:p>
    <w:p w:rsidR="003D6765" w:rsidRPr="003D6765" w:rsidRDefault="003D6765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ТЕПЛОЕМКОСТЬ ТВЕРДЫХ ТЕЛ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 низких температурах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одноатомных </w:t>
      </w:r>
      <w:hyperlink r:id="rId19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кристаллов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пропорциональна кубу абсолютной температуры (закон Дебая):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proofErr w:type="gramStart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~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Т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perscript"/>
          <w:lang w:eastAsia="ru-RU"/>
        </w:rPr>
        <w:t>3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При высоких температурах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proofErr w:type="gramStart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стремится к предельному значению 3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R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определяемому классической теорией и не зависящему от природы </w:t>
      </w:r>
      <w:hyperlink r:id="rId20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атомов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(правило Дюлонга и Пти). 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3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может, однако, не достигаться, если ранее происходит </w:t>
      </w:r>
      <w:hyperlink r:id="rId21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плавление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 или его разложение. Методами квантовой статистики доказывается равенство нулю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любого тела при абсолютном нуле температуры (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: 0 при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: 0). Если бы это было не так, энтропия системы, согласно (2), должна была бы обращаться в —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: 0, что противоречит третьему началу термодинамики (см. </w:t>
      </w:r>
      <w:hyperlink r:id="rId22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Тепловая теорема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Предельное значение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Start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proofErr w:type="gramEnd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достигается уже при обычных температурах у металлов. Для некоторых простых соединений с числом </w:t>
      </w:r>
      <w:hyperlink r:id="rId23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атомов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молекуле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предельное значение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V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=3nR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[</w:t>
      </w:r>
      <w:proofErr w:type="spell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MnS</w:t>
      </w:r>
      <w:proofErr w:type="spell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=2), РbСl</w:t>
      </w:r>
      <w:r w:rsidRPr="003D67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=3) и др.].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Для кристаллических твердых тел существует характеристическая температура </w:t>
      </w:r>
      <w:proofErr w:type="spell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D</w:t>
      </w:r>
      <w:proofErr w:type="spell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названная температурой Дебая, разделяющая "</w:t>
      </w:r>
      <w:r w:rsidR="003059BE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классическую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область" температур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Т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32BDDFC2" wp14:editId="393DD1B8">
            <wp:extent cx="148590" cy="138430"/>
            <wp:effectExtent l="0" t="0" r="3810" b="0"/>
            <wp:docPr id="68" name="Рисунок 68" descr="http://www.chemport.ru/data/chemipedia/imgs/410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chemport.ru/data/chemipedia/imgs/4104-3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D</w:t>
      </w:r>
      <w:proofErr w:type="spell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в которой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описывается законом Дюлонга и Пти, и "квантовую область"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T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29F10A6C" wp14:editId="1F29A0A9">
            <wp:extent cx="148590" cy="148590"/>
            <wp:effectExtent l="0" t="0" r="3810" b="3810"/>
            <wp:docPr id="67" name="Рисунок 67" descr="http://www.chemport.ru/data/chemipedia/imgs/410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chemport.ru/data/chemipedia/imgs/4104-3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q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D</w:t>
      </w:r>
      <w:proofErr w:type="spell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Температура Дебая связана с предельной частотой колебаний </w:t>
      </w:r>
      <w:hyperlink r:id="rId26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атомов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 кристаллической решетке и зависит</w:t>
      </w:r>
      <w:r w:rsidR="003059BE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от упругих постоянных вещества.</w:t>
      </w:r>
    </w:p>
    <w:p w:rsid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 </w:t>
      </w:r>
      <w:hyperlink r:id="rId27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металлов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вклад в значение </w:t>
      </w:r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С</w:t>
      </w:r>
      <w:proofErr w:type="gramStart"/>
      <w:r w:rsidRPr="00B468C5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vertAlign w:val="subscript"/>
          <w:lang w:eastAsia="ru-RU"/>
        </w:rPr>
        <w:t>V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дают </w:t>
      </w:r>
      <w:hyperlink r:id="rId28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электроны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проводимости (электронная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). Эта часть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="003059BE"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 xml:space="preserve"> 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может быть вычислена на основе квантовой статистики Ферми, которой подчиняются электроны. Электронная</w:t>
      </w:r>
      <w:r w:rsidR="003059BE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пропорциональна температуре в первой степени, однако ее вклад пренебрежимо мал при температурах, когда велика 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"решеточная"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(пропорциональная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3D67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  <w:hyperlink r:id="rId29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Антиферромагнетики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hyperlink r:id="rId30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ферримагнетики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обладающие упорядоченным расположением спиновых магнитных моментов атомов, имеют дополнительную магнитную составляющую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испытывает резкий подъем при температуре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фазового перехода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вещества в парамагнитное состояние (см. </w:t>
      </w:r>
      <w:hyperlink r:id="rId32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Кюри точка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59BE" w:rsidRPr="003D6765" w:rsidRDefault="003059BE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765" w:rsidRPr="003D6765" w:rsidRDefault="003D6765" w:rsidP="003D67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МЕТОДЫ ОПРЕДЕЛЕНИЯ ТЕПЛОЕМКОСТЬ ИНДИВИДУАЛЬНЫХ ВЕЩЕСТВ</w:t>
      </w:r>
    </w:p>
    <w:p w:rsidR="003D6765" w:rsidRPr="00B468C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Основным экспериментальным методом является </w:t>
      </w:r>
      <w:hyperlink r:id="rId33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калориметрия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 Теоретический расчет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веществ осуществляется методами </w:t>
      </w:r>
      <w:hyperlink r:id="rId34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статистической термодинамики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но он возможен только для сравнительно простых </w:t>
      </w:r>
      <w:hyperlink r:id="rId35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молекул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состоянии </w:t>
      </w:r>
      <w:hyperlink r:id="rId36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идеального газа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и для кристаллов, причем в обоих случаях для расчета требуются экспериментальные данные о строении вещества.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Эмпирические методы определения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веществ в состоянии идеального </w:t>
      </w:r>
      <w:hyperlink r:id="rId37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газа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основаны на представлении об аддитивности вкладов отдельных групп </w:t>
      </w:r>
      <w:hyperlink r:id="rId38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атомов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или химических связей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Опубликованы обширные таблицы групповых атомных вкладов в значение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жидкостей, помимо аддитивно-групповых, применяют методы, основанные на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соответственных состояний законе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использовании термодинамических циклов, позволяющих перейти к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жидкости от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идеального газа через температурную производную энтальпии испарения.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раствора вычисление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аддитивной функции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теплоемкостей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компонентов в общем случае некорректно, т.к. избыточная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раствора, как правило, значительна. Для ее оценки требуется привлечение молекулярно-статистической теории растворов (см. </w:t>
      </w:r>
      <w:hyperlink r:id="rId40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Растворы не</w:t>
        </w:r>
        <w:r w:rsidR="003059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электролитов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 Экспериментально избыточная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определена по температурной зависимости энтальпии смешения, после чего возможен расчет </w:t>
      </w:r>
      <w:proofErr w:type="gramStart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р</w:t>
      </w:r>
      <w:proofErr w:type="gramEnd"/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spell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Теплоемкость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гетерогенных систем представляет наиболее сложный случай для термодинамического анализа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диаграмме состояния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перемещение вдоль кривой равновесия фаз сопровождается изменением и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</w:t>
      </w:r>
      <w:r w:rsidRPr="003D67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gramStart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/ Е</w:t>
      </w:r>
      <w:proofErr w:type="gramEnd"/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 процессе нагрева происходит смещение точки фазового равновесия, то это дает дополнительный вклад в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гетерогенной системы не равна сумме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теплоемкостей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составляющих ее фаз, но превосходит ее. На фазовой диаграмме при переходе от гомогенного состояния к области существования гетерогенной системы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испытывает скачок (см. </w:t>
      </w:r>
      <w:hyperlink r:id="rId42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Фазовые переходы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Практическое значение исследований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 важно для расчетов энергетических балансов процессов в химических реакторах и др. аппаратах химического производства, а также для выбора оптимальных теплоносителей. 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измерение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разных интервалов температур - от предельно низких до высоких - является основным методом определения термодинамических свойств веществ. Для расчета энтальпий и </w:t>
      </w:r>
      <w:hyperlink r:id="rId43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энтропии</w:t>
        </w:r>
      </w:hyperlink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(в интервалах от 0 до Т) используют интегралы от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652EC" wp14:editId="7077EB51">
            <wp:extent cx="1382232" cy="872187"/>
            <wp:effectExtent l="0" t="0" r="8890" b="4445"/>
            <wp:docPr id="65" name="Рисунок 65" descr="http://www.chemport.ru/data/chemipedia/imgs/4104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chemport.ru/data/chemipedia/imgs/4104-34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23" cy="8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65" w:rsidRP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которым добавляются соответствующие эффекты фазовых переходов. 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Знание 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теплоемкости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реагентов в некотором интервале температур позволяет осуществить расчет теплового эффекта реакции (см. </w:t>
      </w:r>
      <w:hyperlink r:id="rId45" w:history="1">
        <w:r w:rsidRPr="00B468C5">
          <w:rPr>
            <w:rFonts w:ascii="Times New Roman" w:eastAsia="Times New Roman" w:hAnsi="Times New Roman" w:cs="Times New Roman"/>
            <w:color w:val="00B050"/>
            <w:sz w:val="24"/>
            <w:szCs w:val="24"/>
            <w:lang w:eastAsia="ru-RU"/>
          </w:rPr>
          <w:t>Кирхгофа уравнение</w:t>
        </w:r>
      </w:hyperlink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), а знание</w:t>
      </w:r>
      <w:r w:rsidR="003059BE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B468C5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  <w:t>теплоемкостей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растворов - рассчитать их термодинамические свойства при любой температуре в пределах исследованного интервала.</w:t>
      </w:r>
    </w:p>
    <w:p w:rsidR="003D6765" w:rsidRDefault="003D6765" w:rsidP="003D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следует подчеркнуть роль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структурных исследованиях индивидуальных веществ в конденсированном состоянии и растворов. Величины, являющиеся второй производной потенциалов Гиббса или Гельмгольца по параметрам состояния (а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относится к таковым), весьма чувствительны к структурным изменениям системы. В твердых телах и сплавах при фазовых переходах 2-го рода типа порядок - беспорядок наблюдаются l-образные скачки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жидкостях такие скачки имеют место вблизи критических точек равновесия жидкость-газ и жидкость-жидкость (см. </w:t>
      </w:r>
      <w:hyperlink r:id="rId46" w:history="1">
        <w:r w:rsidRPr="003D6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Критические явления</w:t>
        </w:r>
      </w:hyperlink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жидкости, например, при нагревании часть энергии может идти не на возбуждение новых степеней свободы молекул, а на изменение потенциальной энергии взаимодействующих молекул. Этот вклад называется "конфигурационной" 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теплоемкостью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она связана с характером молекулярного упорядочения в жидкостях и растворах. В биохимии политермические измерения</w:t>
      </w:r>
      <w:r w:rsidR="0030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теплоемкости</w:t>
      </w:r>
      <w:r w:rsidRPr="003D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дают информацию о структурных переходах в белках.</w:t>
      </w:r>
    </w:p>
    <w:p w:rsidR="002F5B35" w:rsidRPr="00385CA6" w:rsidRDefault="002F5B35" w:rsidP="002F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Энтальпия.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Многие термодинамические расчеты облегчаются при использовании аддитивных свойств термодинамических тел, называемых энергетическими или калорическими параметрами состояния (функции состояния, получаемые расчетным путем). 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название эти параметры состояния получили потому, что в их размерностях присутствует единица энергии [</w:t>
      </w:r>
      <w:proofErr w:type="gramStart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] или [ккал]. С некоторыми из них мы уже познакомились: это энтропия S [Дж</w:t>
      </w:r>
      <w:proofErr w:type="gramStart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  <w:proofErr w:type="gramEnd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] и внутренняя энергия U [Дж]. Теперь познакомимся с энтальпией.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Преобразуем выражение первого закона термодинамики (3.35), записав его в виде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E60588" wp14:editId="416EED4D">
                  <wp:extent cx="4677339" cy="627321"/>
                  <wp:effectExtent l="0" t="0" r="0" b="1905"/>
                  <wp:docPr id="80" name="Рисунок 80" descr="http://ispu.ru/files/u2/book2/TD1_19-06/images/3-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ispu.ru/files/u2/book2/TD1_19-06/images/3-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964" cy="62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(3.38)</w:t>
            </w:r>
          </w:p>
        </w:tc>
      </w:tr>
    </w:tbl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 равенстве (3.38) сумма (u+Р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v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) является функцией состояния или энергетическим параметром состояния, ее назвали энтальпией и обозначили буквой h [Дж/кг], в переводе с греческого энтальпия - нагреваю, параметр ввел в 1909 г. Г.Камерлинг-Оннесом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9273F8" wp14:editId="2877D87F">
                  <wp:extent cx="999490" cy="223520"/>
                  <wp:effectExtent l="0" t="0" r="0" b="5080"/>
                  <wp:docPr id="79" name="Рисунок 79" descr="http://ispu.ru/files/u2/book2/TD1_19-06/images/3-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ispu.ru/files/u2/book2/TD1_19-06/images/3-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(3.39)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</w:t>
      </w:r>
      <w:r w:rsid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 выражении (3.39) h - удельная энтальпия, для всей массы тела полная энтальпия обозначается буквой H [Дж] и рассчитывается как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B94D17" wp14:editId="17CF33BD">
                  <wp:extent cx="1656864" cy="223283"/>
                  <wp:effectExtent l="0" t="0" r="635" b="5715"/>
                  <wp:docPr id="78" name="Рисунок 78" descr="http://ispu.ru/files/u2/book2/TD1_19-06/images/3-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ispu.ru/files/u2/book2/TD1_19-06/images/3-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28" cy="22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(3.40)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Полная энтальпия H обладает свойствами аддитивности (суммирования), т.к. внутренняя энергия U и объем V - величины экстенсивные, а давление 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- величина интенсивная. Удельная энтальпия h обладает свойствами интенсивной величины. Энтальпия относится к энергетическим (калорическим) параметрам.</w:t>
      </w:r>
    </w:p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Энтальпия имеет определенный физический смысл. Прокомментируем физический смысл энтальпии с помощью рисунка 3.7. В цилиндре с поршнем находится газ при давлении Р. Давление газа на поршень уравновешивается внешним силовым воздействием F, т.е. 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находится в равновесном состоянии. 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Энергию газа такой системы можно представить в виде суммы двух энергий: внутренней энергии газа - U и потенциальной энергии газа, которая характеризуется работой внешних сил, уравновешивающих давление газа, затраченных на заполнение газом данного объема.</w:t>
      </w:r>
    </w:p>
    <w:tbl>
      <w:tblPr>
        <w:tblpPr w:leftFromText="180" w:rightFromText="180" w:vertAnchor="text" w:tblpY="1"/>
        <w:tblOverlap w:val="never"/>
        <w:tblW w:w="7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5D607F" w:rsidRPr="00385CA6" w:rsidTr="005D6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B35" w:rsidRPr="00385CA6" w:rsidRDefault="002F5B35" w:rsidP="005D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5B35" w:rsidRPr="00385CA6" w:rsidRDefault="005D607F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2F5B35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Получение потенциальной энергии газом может быть проиллюстрировано в виде работы внешних сил, затраченной на перемещение поршня в цилиндре, в случае заполнения его газом при постоянном давлении от нулевого объема V=0 до объема V. </w:t>
      </w:r>
      <w:r w:rsidR="002F5B35"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при заполнении газом цилиндра над газом со стороны окружающей среды была совершена работа, то энергия газа увеличилась на величину этой работы. Это</w:t>
      </w:r>
      <w:r w:rsid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B35"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потенциальная энергия давления газа, которая 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</w:t>
      </w:r>
      <w:r w:rsidR="002F5B35"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произведение внешней силы F на перемещение поршня x или как произведение давления газа на изменение его объема от 0 до 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2F5B35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09EF9" wp14:editId="49DF6A9B">
                  <wp:extent cx="1722475" cy="284251"/>
                  <wp:effectExtent l="0" t="0" r="0" b="1905"/>
                  <wp:docPr id="77" name="Рисунок 77" descr="http://ispu.ru/files/u2/book2/TD1_19-06/images/3-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ispu.ru/files/u2/book2/TD1_19-06/images/3-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072" cy="2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 итоге получили, что полная энергия такой системы есть сумма U+PV, а это и есть энтальпия H=U+PV.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Таким образом, энтальпия есть полная энергия расширенной системы, представляющая сумму внутренней энергии и внешней – потенциальной энергии давления.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любой параметр состояния, энтальпия может быть определена любой парой независимых параметров состояния.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Используя понятие энтальпии, первый закон термодинамики можно записать в виде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09A656" wp14:editId="5C3EFC8B">
                  <wp:extent cx="1382395" cy="266065"/>
                  <wp:effectExtent l="0" t="0" r="8255" b="635"/>
                  <wp:docPr id="76" name="Рисунок 76" descr="http://ispu.ru/files/u2/book2/TD1_19-06/images/3-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ispu.ru/files/u2/book2/TD1_19-06/images/3-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(3.41)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6B4F63" wp14:editId="6AD18292">
                  <wp:extent cx="1435396" cy="232392"/>
                  <wp:effectExtent l="0" t="0" r="0" b="0"/>
                  <wp:docPr id="75" name="Рисунок 75" descr="http://ispu.ru/files/u2/book2/TD1_19-06/images/3-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ispu.ru/files/u2/book2/TD1_19-06/images/3-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592" cy="23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(3.42)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выражения (3.41) видно, что энтальпией удобно пользоваться при определении теплоты в изобарных процессах (</w:t>
      </w:r>
      <w:proofErr w:type="gramStart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=const) ∂q</w:t>
      </w:r>
      <w:r w:rsidRPr="00385C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=dh</w:t>
      </w:r>
      <w:r w:rsidRPr="00385C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B35" w:rsidRPr="00B468C5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Изобарная теплоемкость тела тоже может быть </w:t>
      </w:r>
      <w:r w:rsidR="005D607F"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рассчитана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с использованием величины изменения энтальпии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028A66" wp14:editId="49842C9E">
                  <wp:extent cx="1446028" cy="565860"/>
                  <wp:effectExtent l="0" t="0" r="1905" b="5715"/>
                  <wp:docPr id="74" name="Рисунок 74" descr="http://ispu.ru/files/u2/book2/TD1_19-06/images/3-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ispu.ru/files/u2/book2/TD1_19-06/images/3-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188" cy="56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(3.43)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внимание на то, что выражение (3.43) справедливо только для изобарных процессов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, т.е. разность энтальпий можно рассчитать как произведение изобарной теплоемкости на изменение температуры только при 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Р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=const dh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p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=C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p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dT. </w:t>
      </w: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изменение энтальпии можно представить как полный дифференциал, выраженный через частные производные энтальпии от любой пары независимых параметров состояния. Например, выразим изменение энтальпии через ее зависимость от давления и температуры</w:t>
      </w:r>
    </w:p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ED395B" wp14:editId="10BE606E">
                  <wp:extent cx="2191074" cy="563526"/>
                  <wp:effectExtent l="0" t="0" r="0" b="8255"/>
                  <wp:docPr id="73" name="Рисунок 73" descr="http://ispu.ru/files/u2/book2/TD1_19-06/images/3-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ispu.ru/files/u2/book2/TD1_19-06/images/3-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16" cy="56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(3.44)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выражение (3.43) для первого слагаемого получим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0"/>
        <w:gridCol w:w="655"/>
      </w:tblGrid>
      <w:tr w:rsidR="00385CA6" w:rsidRPr="00385CA6" w:rsidTr="002F5B3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F5B35" w:rsidRPr="00385CA6" w:rsidRDefault="002F5B35" w:rsidP="002F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8625EA" wp14:editId="1F696690">
                  <wp:extent cx="1860698" cy="556140"/>
                  <wp:effectExtent l="0" t="0" r="6350" b="0"/>
                  <wp:docPr id="72" name="Рисунок 72" descr="http://ispu.ru/files/u2/book2/TD1_19-06/images/3-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ispu.ru/files/u2/book2/TD1_19-06/images/3-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799" cy="55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F5B35" w:rsidRPr="00385CA6" w:rsidRDefault="002F5B35" w:rsidP="002F5B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(3.45)</w:t>
            </w:r>
          </w:p>
        </w:tc>
      </w:tr>
    </w:tbl>
    <w:p w:rsidR="002F5B35" w:rsidRPr="00385CA6" w:rsidRDefault="002F5B35" w:rsidP="002F5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энтальпии, как и для внутренней энергии, выбирают начало отсчета. Хотя выбор параметров начала отсчета энтальпии произволен, т.к. в термодинамике важно не абсолютное ее значение, а разность, необходимо иметь в виду, что начало отсчета и внутренней энергии и энтальпии связаны между собой. Так, </w:t>
      </w:r>
      <w:bookmarkStart w:id="0" w:name="_GoBack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если </w:t>
      </w:r>
      <w:proofErr w:type="gramStart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u</w:t>
      </w:r>
      <w:proofErr w:type="gramEnd"/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о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= 0, </w:t>
      </w:r>
      <w:bookmarkEnd w:id="0"/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при тех же 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условиях h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о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= Р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о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v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о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&gt; u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vertAlign w:val="subscript"/>
          <w:lang w:eastAsia="ru-RU"/>
        </w:rPr>
        <w:t>о</w:t>
      </w:r>
      <w:r w:rsidRPr="00B468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2F5B35" w:rsidRPr="00385CA6" w:rsidRDefault="002F5B35" w:rsidP="002F5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широко используется диаграмма h, s. Для нее начало отсчета энтальпии и энтропии выбирается при одинаковых параметрах состояния. Используя h, s- диаграмму, легко графически представляются и рассчитываются основные процессы в теплоэнергетике: изобарный, адиабатный, а также оцениваются необратимо</w:t>
      </w:r>
      <w:r w:rsidR="00385CA6" w:rsidRPr="00385C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на трение и дросселирование.</w:t>
      </w:r>
    </w:p>
    <w:p w:rsidR="003D6765" w:rsidRDefault="003D6765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3D6765">
      <w:pPr>
        <w:pStyle w:val="Standard"/>
        <w:rPr>
          <w:lang w:val="ru-RU"/>
        </w:rPr>
      </w:pPr>
    </w:p>
    <w:p w:rsidR="00C01AF7" w:rsidRDefault="00C01AF7" w:rsidP="00C01AF7">
      <w:pPr>
        <w:pStyle w:val="Standard"/>
        <w:jc w:val="center"/>
        <w:rPr>
          <w:sz w:val="32"/>
          <w:szCs w:val="32"/>
          <w:lang w:val="en-US"/>
        </w:rPr>
      </w:pPr>
      <w:r w:rsidRPr="00C01AF7">
        <w:rPr>
          <w:sz w:val="32"/>
          <w:szCs w:val="32"/>
          <w:lang w:val="ru-RU"/>
        </w:rPr>
        <w:lastRenderedPageBreak/>
        <w:t>Литература:</w:t>
      </w:r>
    </w:p>
    <w:p w:rsidR="00C01AF7" w:rsidRPr="00C01AF7" w:rsidRDefault="00C01AF7" w:rsidP="00C01AF7">
      <w:pPr>
        <w:pStyle w:val="Standard"/>
        <w:jc w:val="center"/>
        <w:rPr>
          <w:sz w:val="32"/>
          <w:szCs w:val="32"/>
          <w:lang w:val="en-US"/>
        </w:rPr>
      </w:pPr>
    </w:p>
    <w:p w:rsidR="00C01AF7" w:rsidRPr="001045AC" w:rsidRDefault="001045AC" w:rsidP="00C01AF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</w:rPr>
        <w:t>Р.,</w:t>
      </w:r>
      <w:proofErr w:type="gramEnd"/>
      <w:r>
        <w:rPr>
          <w:rFonts w:cs="Times New Roman"/>
          <w:sz w:val="28"/>
          <w:szCs w:val="28"/>
        </w:rPr>
        <w:t xml:space="preserve"> Праусниц </w:t>
      </w:r>
      <w:proofErr w:type="spellStart"/>
      <w:r>
        <w:rPr>
          <w:rFonts w:cs="Times New Roman"/>
          <w:sz w:val="28"/>
          <w:szCs w:val="28"/>
        </w:rPr>
        <w:t>Дж.</w:t>
      </w:r>
      <w:r w:rsidR="00C01AF7" w:rsidRPr="00C01AF7">
        <w:rPr>
          <w:rFonts w:cs="Times New Roman"/>
          <w:sz w:val="28"/>
          <w:szCs w:val="28"/>
        </w:rPr>
        <w:t>Шервуд</w:t>
      </w:r>
      <w:proofErr w:type="spellEnd"/>
      <w:r w:rsidR="00C01AF7" w:rsidRPr="00C01AF7">
        <w:rPr>
          <w:rFonts w:cs="Times New Roman"/>
          <w:sz w:val="28"/>
          <w:szCs w:val="28"/>
        </w:rPr>
        <w:t xml:space="preserve"> Т., Свойства газов и жидкостей, пер. с англ., 3 изд., Л., 1982; </w:t>
      </w:r>
    </w:p>
    <w:p w:rsidR="00C01AF7" w:rsidRPr="00C01AF7" w:rsidRDefault="00C01AF7" w:rsidP="00C01AF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 w:rsidRPr="00C01AF7">
        <w:rPr>
          <w:rFonts w:cs="Times New Roman"/>
          <w:sz w:val="28"/>
          <w:szCs w:val="28"/>
          <w:lang w:val="ru-RU"/>
        </w:rPr>
        <w:t xml:space="preserve">2. </w:t>
      </w:r>
      <w:r w:rsidRPr="00C01AF7">
        <w:rPr>
          <w:rFonts w:cs="Times New Roman"/>
          <w:sz w:val="28"/>
          <w:szCs w:val="28"/>
        </w:rPr>
        <w:t xml:space="preserve">Шульц М.М., Филиппов В.К., "Ж. Всес. Хим. об-ва им. Д.И. Менделеева", 1982, т. 27, с. 485-94; </w:t>
      </w:r>
      <w:r w:rsidRPr="00C01AF7">
        <w:rPr>
          <w:rFonts w:cs="Times New Roman"/>
          <w:sz w:val="28"/>
          <w:szCs w:val="28"/>
          <w:lang w:val="ru-RU"/>
        </w:rPr>
        <w:t xml:space="preserve">3. </w:t>
      </w:r>
    </w:p>
    <w:p w:rsidR="00C01AF7" w:rsidRPr="00C01AF7" w:rsidRDefault="00C01AF7" w:rsidP="00C01AF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 w:rsidRPr="00C01AF7">
        <w:rPr>
          <w:rFonts w:cs="Times New Roman"/>
          <w:sz w:val="28"/>
          <w:szCs w:val="28"/>
        </w:rPr>
        <w:t xml:space="preserve">Панов М.Ю., Белоусов В.П., в сб.: Химия и термодинамика растворов, в. 5, Л., 1982, с. 56-87; </w:t>
      </w:r>
    </w:p>
    <w:p w:rsidR="00C01AF7" w:rsidRPr="001045AC" w:rsidRDefault="00C01AF7" w:rsidP="00C01AF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 w:rsidRPr="00C01AF7">
        <w:rPr>
          <w:rFonts w:cs="Times New Roman"/>
          <w:sz w:val="28"/>
          <w:szCs w:val="28"/>
        </w:rPr>
        <w:t>Термодинамические свойства индивидуальных веществ, под ред. В.П.Глушк</w:t>
      </w:r>
      <w:r w:rsidR="001045AC">
        <w:rPr>
          <w:rFonts w:cs="Times New Roman"/>
          <w:sz w:val="28"/>
          <w:szCs w:val="28"/>
        </w:rPr>
        <w:t>о, 3 изд., т. 1-4, М., 1978-82</w:t>
      </w:r>
      <w:r w:rsidR="001045AC">
        <w:rPr>
          <w:rFonts w:cs="Times New Roman"/>
          <w:sz w:val="28"/>
          <w:szCs w:val="28"/>
          <w:lang w:val="ru-RU"/>
        </w:rPr>
        <w:t>.</w:t>
      </w:r>
    </w:p>
    <w:p w:rsidR="00C01AF7" w:rsidRPr="00C01AF7" w:rsidRDefault="00C01AF7" w:rsidP="00C01AF7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 w:rsidRPr="00C01AF7">
        <w:rPr>
          <w:rFonts w:cs="Times New Roman"/>
          <w:sz w:val="28"/>
          <w:szCs w:val="28"/>
          <w:lang w:val="ru-RU"/>
        </w:rPr>
        <w:t>Интернет ресурс: [</w:t>
      </w:r>
      <w:r w:rsidRPr="00C01AF7">
        <w:rPr>
          <w:rFonts w:cs="Times New Roman"/>
          <w:sz w:val="28"/>
          <w:szCs w:val="28"/>
          <w:lang w:val="en-US"/>
        </w:rPr>
        <w:t>http</w:t>
      </w:r>
      <w:r w:rsidRPr="00C01AF7">
        <w:rPr>
          <w:rFonts w:cs="Times New Roman"/>
          <w:sz w:val="28"/>
          <w:szCs w:val="28"/>
          <w:lang w:val="ru-RU"/>
        </w:rPr>
        <w:t>://</w:t>
      </w:r>
      <w:r w:rsidRPr="00C01AF7">
        <w:rPr>
          <w:rFonts w:cs="Times New Roman"/>
          <w:sz w:val="28"/>
          <w:szCs w:val="28"/>
          <w:lang w:val="en-US"/>
        </w:rPr>
        <w:t>www</w:t>
      </w:r>
      <w:r w:rsidRPr="00C01AF7">
        <w:rPr>
          <w:rFonts w:cs="Times New Roman"/>
          <w:sz w:val="28"/>
          <w:szCs w:val="28"/>
          <w:lang w:val="ru-RU"/>
        </w:rPr>
        <w:t>.</w:t>
      </w:r>
      <w:r w:rsidRPr="00C01AF7">
        <w:rPr>
          <w:rFonts w:cs="Times New Roman"/>
          <w:sz w:val="28"/>
          <w:szCs w:val="28"/>
          <w:lang w:val="en-US"/>
        </w:rPr>
        <w:t>chemport</w:t>
      </w:r>
      <w:r w:rsidRPr="00C01AF7">
        <w:rPr>
          <w:rFonts w:cs="Times New Roman"/>
          <w:sz w:val="28"/>
          <w:szCs w:val="28"/>
          <w:lang w:val="ru-RU"/>
        </w:rPr>
        <w:t>.</w:t>
      </w:r>
      <w:r w:rsidRPr="00C01AF7">
        <w:rPr>
          <w:rFonts w:cs="Times New Roman"/>
          <w:sz w:val="28"/>
          <w:szCs w:val="28"/>
          <w:lang w:val="en-US"/>
        </w:rPr>
        <w:t>ru</w:t>
      </w:r>
      <w:r w:rsidRPr="00C01AF7">
        <w:rPr>
          <w:rFonts w:cs="Times New Roman"/>
          <w:sz w:val="28"/>
          <w:szCs w:val="28"/>
          <w:lang w:val="ru-RU"/>
        </w:rPr>
        <w:t>]</w:t>
      </w:r>
    </w:p>
    <w:sectPr w:rsidR="00C01AF7" w:rsidRPr="00C0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56F4"/>
    <w:multiLevelType w:val="hybridMultilevel"/>
    <w:tmpl w:val="011E3D1A"/>
    <w:lvl w:ilvl="0" w:tplc="9EEA2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44"/>
    <w:rsid w:val="00011CCC"/>
    <w:rsid w:val="00012DBF"/>
    <w:rsid w:val="000138E7"/>
    <w:rsid w:val="00017152"/>
    <w:rsid w:val="00026AEE"/>
    <w:rsid w:val="00032AB0"/>
    <w:rsid w:val="00033937"/>
    <w:rsid w:val="000426C6"/>
    <w:rsid w:val="00043046"/>
    <w:rsid w:val="00043F70"/>
    <w:rsid w:val="00047678"/>
    <w:rsid w:val="000478F6"/>
    <w:rsid w:val="000532E9"/>
    <w:rsid w:val="0005539B"/>
    <w:rsid w:val="00056505"/>
    <w:rsid w:val="00061291"/>
    <w:rsid w:val="00061D6D"/>
    <w:rsid w:val="000666F1"/>
    <w:rsid w:val="00072A1F"/>
    <w:rsid w:val="00074E1D"/>
    <w:rsid w:val="00075294"/>
    <w:rsid w:val="000760CA"/>
    <w:rsid w:val="00076DE6"/>
    <w:rsid w:val="0008238B"/>
    <w:rsid w:val="00083E85"/>
    <w:rsid w:val="00091554"/>
    <w:rsid w:val="0009394B"/>
    <w:rsid w:val="00096FBE"/>
    <w:rsid w:val="000A2311"/>
    <w:rsid w:val="000A5554"/>
    <w:rsid w:val="000A7525"/>
    <w:rsid w:val="000B7B1F"/>
    <w:rsid w:val="000C416C"/>
    <w:rsid w:val="000C6997"/>
    <w:rsid w:val="000C6AC9"/>
    <w:rsid w:val="000D37AA"/>
    <w:rsid w:val="000D469C"/>
    <w:rsid w:val="000D4ED7"/>
    <w:rsid w:val="000D61C1"/>
    <w:rsid w:val="000E3AD3"/>
    <w:rsid w:val="000F1CBF"/>
    <w:rsid w:val="000F4066"/>
    <w:rsid w:val="000F424A"/>
    <w:rsid w:val="000F6C6A"/>
    <w:rsid w:val="00103235"/>
    <w:rsid w:val="001045AC"/>
    <w:rsid w:val="001065DD"/>
    <w:rsid w:val="00107942"/>
    <w:rsid w:val="00110739"/>
    <w:rsid w:val="00110EC8"/>
    <w:rsid w:val="001111F0"/>
    <w:rsid w:val="0011684F"/>
    <w:rsid w:val="00117048"/>
    <w:rsid w:val="0011732D"/>
    <w:rsid w:val="00121361"/>
    <w:rsid w:val="00122129"/>
    <w:rsid w:val="00122BE4"/>
    <w:rsid w:val="001243D3"/>
    <w:rsid w:val="00131A0E"/>
    <w:rsid w:val="0013507B"/>
    <w:rsid w:val="0013527F"/>
    <w:rsid w:val="001429AB"/>
    <w:rsid w:val="001433ED"/>
    <w:rsid w:val="001472DF"/>
    <w:rsid w:val="00150E89"/>
    <w:rsid w:val="00152645"/>
    <w:rsid w:val="001548FF"/>
    <w:rsid w:val="00162DFD"/>
    <w:rsid w:val="00166A86"/>
    <w:rsid w:val="001775A3"/>
    <w:rsid w:val="00177A3D"/>
    <w:rsid w:val="00180094"/>
    <w:rsid w:val="001806CF"/>
    <w:rsid w:val="001812AD"/>
    <w:rsid w:val="00181922"/>
    <w:rsid w:val="00182400"/>
    <w:rsid w:val="0018319D"/>
    <w:rsid w:val="0018590F"/>
    <w:rsid w:val="00186693"/>
    <w:rsid w:val="00187502"/>
    <w:rsid w:val="001912DF"/>
    <w:rsid w:val="00192717"/>
    <w:rsid w:val="00193913"/>
    <w:rsid w:val="00195ADE"/>
    <w:rsid w:val="001A0EBC"/>
    <w:rsid w:val="001B5D3B"/>
    <w:rsid w:val="001C04B0"/>
    <w:rsid w:val="001C3E5B"/>
    <w:rsid w:val="001C4E2D"/>
    <w:rsid w:val="001D0444"/>
    <w:rsid w:val="001D5DC0"/>
    <w:rsid w:val="001E5FC7"/>
    <w:rsid w:val="001F15B0"/>
    <w:rsid w:val="001F43EE"/>
    <w:rsid w:val="001F48E6"/>
    <w:rsid w:val="001F5749"/>
    <w:rsid w:val="001F74F0"/>
    <w:rsid w:val="00202E38"/>
    <w:rsid w:val="002030D2"/>
    <w:rsid w:val="0020438C"/>
    <w:rsid w:val="00204C9C"/>
    <w:rsid w:val="00207CDB"/>
    <w:rsid w:val="002132C5"/>
    <w:rsid w:val="00215136"/>
    <w:rsid w:val="00216753"/>
    <w:rsid w:val="00220286"/>
    <w:rsid w:val="0022037E"/>
    <w:rsid w:val="00221AB6"/>
    <w:rsid w:val="00224F93"/>
    <w:rsid w:val="00233F7F"/>
    <w:rsid w:val="00235349"/>
    <w:rsid w:val="00241B71"/>
    <w:rsid w:val="00246575"/>
    <w:rsid w:val="0025696E"/>
    <w:rsid w:val="00262BEC"/>
    <w:rsid w:val="002703B1"/>
    <w:rsid w:val="002822EF"/>
    <w:rsid w:val="002865A2"/>
    <w:rsid w:val="0029173C"/>
    <w:rsid w:val="002A0F27"/>
    <w:rsid w:val="002A27C6"/>
    <w:rsid w:val="002A28F7"/>
    <w:rsid w:val="002A33D0"/>
    <w:rsid w:val="002A468B"/>
    <w:rsid w:val="002B3C51"/>
    <w:rsid w:val="002C06D5"/>
    <w:rsid w:val="002C4F84"/>
    <w:rsid w:val="002E27B5"/>
    <w:rsid w:val="002F00E1"/>
    <w:rsid w:val="002F3232"/>
    <w:rsid w:val="002F3998"/>
    <w:rsid w:val="002F5B35"/>
    <w:rsid w:val="003006C1"/>
    <w:rsid w:val="003059BE"/>
    <w:rsid w:val="00315A5F"/>
    <w:rsid w:val="00321E5C"/>
    <w:rsid w:val="00322F81"/>
    <w:rsid w:val="00323724"/>
    <w:rsid w:val="0032678D"/>
    <w:rsid w:val="00327CE3"/>
    <w:rsid w:val="00333C3E"/>
    <w:rsid w:val="003358F2"/>
    <w:rsid w:val="00337FC2"/>
    <w:rsid w:val="0034015B"/>
    <w:rsid w:val="00343263"/>
    <w:rsid w:val="003507E4"/>
    <w:rsid w:val="0035392D"/>
    <w:rsid w:val="0036231E"/>
    <w:rsid w:val="00362909"/>
    <w:rsid w:val="003662C0"/>
    <w:rsid w:val="00366A39"/>
    <w:rsid w:val="00381FAA"/>
    <w:rsid w:val="00384432"/>
    <w:rsid w:val="00384976"/>
    <w:rsid w:val="00385CA6"/>
    <w:rsid w:val="00386A68"/>
    <w:rsid w:val="00387597"/>
    <w:rsid w:val="00391170"/>
    <w:rsid w:val="003946D2"/>
    <w:rsid w:val="00396661"/>
    <w:rsid w:val="00396C8A"/>
    <w:rsid w:val="003A267E"/>
    <w:rsid w:val="003B1899"/>
    <w:rsid w:val="003B39AC"/>
    <w:rsid w:val="003B4CDF"/>
    <w:rsid w:val="003B790B"/>
    <w:rsid w:val="003C1629"/>
    <w:rsid w:val="003C3A16"/>
    <w:rsid w:val="003C6BD2"/>
    <w:rsid w:val="003D0C75"/>
    <w:rsid w:val="003D1310"/>
    <w:rsid w:val="003D600F"/>
    <w:rsid w:val="003D6765"/>
    <w:rsid w:val="003D6E55"/>
    <w:rsid w:val="003D7101"/>
    <w:rsid w:val="003E089B"/>
    <w:rsid w:val="003E314A"/>
    <w:rsid w:val="003F2E3B"/>
    <w:rsid w:val="003F68E6"/>
    <w:rsid w:val="003F7C96"/>
    <w:rsid w:val="00400B84"/>
    <w:rsid w:val="00410309"/>
    <w:rsid w:val="00412D31"/>
    <w:rsid w:val="00417CE1"/>
    <w:rsid w:val="004240CD"/>
    <w:rsid w:val="00432371"/>
    <w:rsid w:val="0043553D"/>
    <w:rsid w:val="004401CE"/>
    <w:rsid w:val="004407BF"/>
    <w:rsid w:val="004420DE"/>
    <w:rsid w:val="00442FF6"/>
    <w:rsid w:val="00443AB6"/>
    <w:rsid w:val="00444695"/>
    <w:rsid w:val="004474B8"/>
    <w:rsid w:val="0045037D"/>
    <w:rsid w:val="00451FFE"/>
    <w:rsid w:val="0045718E"/>
    <w:rsid w:val="004623B5"/>
    <w:rsid w:val="0046250A"/>
    <w:rsid w:val="004639E3"/>
    <w:rsid w:val="004660D9"/>
    <w:rsid w:val="00467971"/>
    <w:rsid w:val="0047091B"/>
    <w:rsid w:val="004717C6"/>
    <w:rsid w:val="00472585"/>
    <w:rsid w:val="00483EBF"/>
    <w:rsid w:val="00490A10"/>
    <w:rsid w:val="0049232E"/>
    <w:rsid w:val="004950D0"/>
    <w:rsid w:val="00495AFB"/>
    <w:rsid w:val="00496DD4"/>
    <w:rsid w:val="004A36F9"/>
    <w:rsid w:val="004A4412"/>
    <w:rsid w:val="004A795F"/>
    <w:rsid w:val="004B2214"/>
    <w:rsid w:val="004B6D95"/>
    <w:rsid w:val="004B7031"/>
    <w:rsid w:val="004C068C"/>
    <w:rsid w:val="004C15CE"/>
    <w:rsid w:val="004C6A44"/>
    <w:rsid w:val="004D2969"/>
    <w:rsid w:val="004D3708"/>
    <w:rsid w:val="004E4070"/>
    <w:rsid w:val="004E42A4"/>
    <w:rsid w:val="004E483D"/>
    <w:rsid w:val="004E54C2"/>
    <w:rsid w:val="004F0F44"/>
    <w:rsid w:val="004F1373"/>
    <w:rsid w:val="004F196A"/>
    <w:rsid w:val="004F318D"/>
    <w:rsid w:val="004F4E76"/>
    <w:rsid w:val="004F5E7B"/>
    <w:rsid w:val="00500BBF"/>
    <w:rsid w:val="00512BC4"/>
    <w:rsid w:val="00516796"/>
    <w:rsid w:val="0052098D"/>
    <w:rsid w:val="00522416"/>
    <w:rsid w:val="00524541"/>
    <w:rsid w:val="00525877"/>
    <w:rsid w:val="0053036F"/>
    <w:rsid w:val="005361DD"/>
    <w:rsid w:val="00537D85"/>
    <w:rsid w:val="0054089C"/>
    <w:rsid w:val="00540B4E"/>
    <w:rsid w:val="00546ED5"/>
    <w:rsid w:val="0054714C"/>
    <w:rsid w:val="0055085E"/>
    <w:rsid w:val="00551ED9"/>
    <w:rsid w:val="00552B66"/>
    <w:rsid w:val="0055388F"/>
    <w:rsid w:val="00556926"/>
    <w:rsid w:val="00556E5F"/>
    <w:rsid w:val="00557C1F"/>
    <w:rsid w:val="00561BB0"/>
    <w:rsid w:val="005645E9"/>
    <w:rsid w:val="00570A96"/>
    <w:rsid w:val="00572E53"/>
    <w:rsid w:val="005823F8"/>
    <w:rsid w:val="0058337E"/>
    <w:rsid w:val="00596CA8"/>
    <w:rsid w:val="005A0F1B"/>
    <w:rsid w:val="005B08F6"/>
    <w:rsid w:val="005C0079"/>
    <w:rsid w:val="005C7B64"/>
    <w:rsid w:val="005D0029"/>
    <w:rsid w:val="005D2F2A"/>
    <w:rsid w:val="005D607F"/>
    <w:rsid w:val="005D70A5"/>
    <w:rsid w:val="005E0C9F"/>
    <w:rsid w:val="005E0F3F"/>
    <w:rsid w:val="005E1A40"/>
    <w:rsid w:val="005E7448"/>
    <w:rsid w:val="005F1957"/>
    <w:rsid w:val="005F1990"/>
    <w:rsid w:val="005F21CD"/>
    <w:rsid w:val="00600004"/>
    <w:rsid w:val="006007A2"/>
    <w:rsid w:val="00604C0F"/>
    <w:rsid w:val="006135B6"/>
    <w:rsid w:val="00614F5A"/>
    <w:rsid w:val="00615A9F"/>
    <w:rsid w:val="00616FE3"/>
    <w:rsid w:val="0062172E"/>
    <w:rsid w:val="00627129"/>
    <w:rsid w:val="006276DF"/>
    <w:rsid w:val="00630BA1"/>
    <w:rsid w:val="00630D27"/>
    <w:rsid w:val="00631DFE"/>
    <w:rsid w:val="00633357"/>
    <w:rsid w:val="00635819"/>
    <w:rsid w:val="006377EC"/>
    <w:rsid w:val="006418AC"/>
    <w:rsid w:val="00644962"/>
    <w:rsid w:val="00647171"/>
    <w:rsid w:val="00647555"/>
    <w:rsid w:val="006527B6"/>
    <w:rsid w:val="0065495A"/>
    <w:rsid w:val="006616D4"/>
    <w:rsid w:val="00661BE8"/>
    <w:rsid w:val="00662F6A"/>
    <w:rsid w:val="00664466"/>
    <w:rsid w:val="00664680"/>
    <w:rsid w:val="00664AAA"/>
    <w:rsid w:val="00665302"/>
    <w:rsid w:val="00666363"/>
    <w:rsid w:val="00666792"/>
    <w:rsid w:val="00667633"/>
    <w:rsid w:val="00673C4F"/>
    <w:rsid w:val="006744EF"/>
    <w:rsid w:val="00680751"/>
    <w:rsid w:val="00680897"/>
    <w:rsid w:val="00682892"/>
    <w:rsid w:val="00685D94"/>
    <w:rsid w:val="0069159B"/>
    <w:rsid w:val="006930E3"/>
    <w:rsid w:val="00696042"/>
    <w:rsid w:val="006A09FC"/>
    <w:rsid w:val="006A5625"/>
    <w:rsid w:val="006B706D"/>
    <w:rsid w:val="006C0A4F"/>
    <w:rsid w:val="006C56B6"/>
    <w:rsid w:val="006D4989"/>
    <w:rsid w:val="006D6B4D"/>
    <w:rsid w:val="006E0FF2"/>
    <w:rsid w:val="006E18E6"/>
    <w:rsid w:val="006E73FC"/>
    <w:rsid w:val="00701329"/>
    <w:rsid w:val="00705F06"/>
    <w:rsid w:val="0071408A"/>
    <w:rsid w:val="00715475"/>
    <w:rsid w:val="00716DD0"/>
    <w:rsid w:val="00717DBE"/>
    <w:rsid w:val="00722598"/>
    <w:rsid w:val="00740196"/>
    <w:rsid w:val="00740DA4"/>
    <w:rsid w:val="00740FCC"/>
    <w:rsid w:val="0074136C"/>
    <w:rsid w:val="007429FC"/>
    <w:rsid w:val="007468EE"/>
    <w:rsid w:val="007502AF"/>
    <w:rsid w:val="00750C73"/>
    <w:rsid w:val="00755BDA"/>
    <w:rsid w:val="0075768F"/>
    <w:rsid w:val="00757CED"/>
    <w:rsid w:val="00765253"/>
    <w:rsid w:val="00776CF2"/>
    <w:rsid w:val="00777F7A"/>
    <w:rsid w:val="00783971"/>
    <w:rsid w:val="00787DC1"/>
    <w:rsid w:val="00791669"/>
    <w:rsid w:val="007924E6"/>
    <w:rsid w:val="007B1E5A"/>
    <w:rsid w:val="007B28A3"/>
    <w:rsid w:val="007B3203"/>
    <w:rsid w:val="007B5C2E"/>
    <w:rsid w:val="007C16B4"/>
    <w:rsid w:val="007C218F"/>
    <w:rsid w:val="007C3B33"/>
    <w:rsid w:val="007C6D5A"/>
    <w:rsid w:val="007C7C06"/>
    <w:rsid w:val="007D0746"/>
    <w:rsid w:val="007D12C5"/>
    <w:rsid w:val="007D164D"/>
    <w:rsid w:val="007D32D2"/>
    <w:rsid w:val="007D56F6"/>
    <w:rsid w:val="007E17CF"/>
    <w:rsid w:val="007E1FC8"/>
    <w:rsid w:val="007F3A9B"/>
    <w:rsid w:val="00805574"/>
    <w:rsid w:val="008120A9"/>
    <w:rsid w:val="00815113"/>
    <w:rsid w:val="00815D4B"/>
    <w:rsid w:val="00817A39"/>
    <w:rsid w:val="0082082A"/>
    <w:rsid w:val="00821AE9"/>
    <w:rsid w:val="00826DA8"/>
    <w:rsid w:val="008318B2"/>
    <w:rsid w:val="008338CF"/>
    <w:rsid w:val="00837D2A"/>
    <w:rsid w:val="0085657A"/>
    <w:rsid w:val="00860D28"/>
    <w:rsid w:val="00866DEC"/>
    <w:rsid w:val="0087241F"/>
    <w:rsid w:val="00874748"/>
    <w:rsid w:val="00877B7E"/>
    <w:rsid w:val="00884FF9"/>
    <w:rsid w:val="008918E7"/>
    <w:rsid w:val="0089565A"/>
    <w:rsid w:val="008C0A22"/>
    <w:rsid w:val="008C2964"/>
    <w:rsid w:val="008C4F80"/>
    <w:rsid w:val="008C4FB6"/>
    <w:rsid w:val="008C5085"/>
    <w:rsid w:val="008C76CF"/>
    <w:rsid w:val="008D0A86"/>
    <w:rsid w:val="008D1A27"/>
    <w:rsid w:val="008D2055"/>
    <w:rsid w:val="008D3F9F"/>
    <w:rsid w:val="008D543B"/>
    <w:rsid w:val="008D6395"/>
    <w:rsid w:val="008E276E"/>
    <w:rsid w:val="008E36AD"/>
    <w:rsid w:val="008E5B91"/>
    <w:rsid w:val="008E5C64"/>
    <w:rsid w:val="008F06D5"/>
    <w:rsid w:val="008F128C"/>
    <w:rsid w:val="008F19BA"/>
    <w:rsid w:val="008F2653"/>
    <w:rsid w:val="008F7E90"/>
    <w:rsid w:val="00900EF1"/>
    <w:rsid w:val="00901B1F"/>
    <w:rsid w:val="009066DB"/>
    <w:rsid w:val="00906B51"/>
    <w:rsid w:val="00912998"/>
    <w:rsid w:val="00912E08"/>
    <w:rsid w:val="00917D8E"/>
    <w:rsid w:val="0092021B"/>
    <w:rsid w:val="00921C09"/>
    <w:rsid w:val="00923715"/>
    <w:rsid w:val="009259C5"/>
    <w:rsid w:val="00926D50"/>
    <w:rsid w:val="00927A5D"/>
    <w:rsid w:val="00932852"/>
    <w:rsid w:val="00933B7A"/>
    <w:rsid w:val="00940E51"/>
    <w:rsid w:val="009449BF"/>
    <w:rsid w:val="00946AF0"/>
    <w:rsid w:val="00946EF2"/>
    <w:rsid w:val="00956E35"/>
    <w:rsid w:val="00961FD7"/>
    <w:rsid w:val="0096327E"/>
    <w:rsid w:val="009656A2"/>
    <w:rsid w:val="00966DD9"/>
    <w:rsid w:val="00967ED5"/>
    <w:rsid w:val="00987BF7"/>
    <w:rsid w:val="009946B9"/>
    <w:rsid w:val="00994CC8"/>
    <w:rsid w:val="009954C9"/>
    <w:rsid w:val="009968D4"/>
    <w:rsid w:val="00996A9D"/>
    <w:rsid w:val="009A301D"/>
    <w:rsid w:val="009A7470"/>
    <w:rsid w:val="009B3612"/>
    <w:rsid w:val="009B3F09"/>
    <w:rsid w:val="009B40B0"/>
    <w:rsid w:val="009B5197"/>
    <w:rsid w:val="009C4405"/>
    <w:rsid w:val="009C44C7"/>
    <w:rsid w:val="009C7F91"/>
    <w:rsid w:val="009D1F3C"/>
    <w:rsid w:val="009D3033"/>
    <w:rsid w:val="009D38DE"/>
    <w:rsid w:val="009D4777"/>
    <w:rsid w:val="009D523B"/>
    <w:rsid w:val="009D6E14"/>
    <w:rsid w:val="009E034D"/>
    <w:rsid w:val="009E49B9"/>
    <w:rsid w:val="009F156F"/>
    <w:rsid w:val="009F411A"/>
    <w:rsid w:val="009F42FB"/>
    <w:rsid w:val="009F68F1"/>
    <w:rsid w:val="00A009C7"/>
    <w:rsid w:val="00A02E80"/>
    <w:rsid w:val="00A0325D"/>
    <w:rsid w:val="00A17175"/>
    <w:rsid w:val="00A17285"/>
    <w:rsid w:val="00A21FC1"/>
    <w:rsid w:val="00A24139"/>
    <w:rsid w:val="00A247C6"/>
    <w:rsid w:val="00A24C2E"/>
    <w:rsid w:val="00A3246F"/>
    <w:rsid w:val="00A43D49"/>
    <w:rsid w:val="00A45F65"/>
    <w:rsid w:val="00A50A12"/>
    <w:rsid w:val="00A52D1F"/>
    <w:rsid w:val="00A54A7A"/>
    <w:rsid w:val="00A557DE"/>
    <w:rsid w:val="00A56106"/>
    <w:rsid w:val="00A60466"/>
    <w:rsid w:val="00A62528"/>
    <w:rsid w:val="00A662CA"/>
    <w:rsid w:val="00A66ECF"/>
    <w:rsid w:val="00A750F8"/>
    <w:rsid w:val="00A771EB"/>
    <w:rsid w:val="00A77650"/>
    <w:rsid w:val="00A869A9"/>
    <w:rsid w:val="00A87836"/>
    <w:rsid w:val="00A90F53"/>
    <w:rsid w:val="00A9553E"/>
    <w:rsid w:val="00AA0F54"/>
    <w:rsid w:val="00AA1E2A"/>
    <w:rsid w:val="00AB0347"/>
    <w:rsid w:val="00AB04CE"/>
    <w:rsid w:val="00AB4D97"/>
    <w:rsid w:val="00AB627C"/>
    <w:rsid w:val="00AC5E8D"/>
    <w:rsid w:val="00AD0E7D"/>
    <w:rsid w:val="00AD260A"/>
    <w:rsid w:val="00AD2921"/>
    <w:rsid w:val="00AD4730"/>
    <w:rsid w:val="00AD5BF2"/>
    <w:rsid w:val="00AE40B0"/>
    <w:rsid w:val="00AE42EF"/>
    <w:rsid w:val="00AE4B46"/>
    <w:rsid w:val="00AE568F"/>
    <w:rsid w:val="00AF12FE"/>
    <w:rsid w:val="00AF2236"/>
    <w:rsid w:val="00AF4E56"/>
    <w:rsid w:val="00B042EA"/>
    <w:rsid w:val="00B147D1"/>
    <w:rsid w:val="00B172BD"/>
    <w:rsid w:val="00B1740B"/>
    <w:rsid w:val="00B20501"/>
    <w:rsid w:val="00B21AB5"/>
    <w:rsid w:val="00B278B5"/>
    <w:rsid w:val="00B41518"/>
    <w:rsid w:val="00B42192"/>
    <w:rsid w:val="00B468C5"/>
    <w:rsid w:val="00B54D22"/>
    <w:rsid w:val="00B57A26"/>
    <w:rsid w:val="00B644C7"/>
    <w:rsid w:val="00B64F14"/>
    <w:rsid w:val="00B64F5A"/>
    <w:rsid w:val="00B6606E"/>
    <w:rsid w:val="00B66FD4"/>
    <w:rsid w:val="00B75174"/>
    <w:rsid w:val="00B75CFC"/>
    <w:rsid w:val="00B800E0"/>
    <w:rsid w:val="00B81214"/>
    <w:rsid w:val="00B83A57"/>
    <w:rsid w:val="00B90001"/>
    <w:rsid w:val="00B91497"/>
    <w:rsid w:val="00B95733"/>
    <w:rsid w:val="00BA6104"/>
    <w:rsid w:val="00BA7F76"/>
    <w:rsid w:val="00BB1E2C"/>
    <w:rsid w:val="00BB6D78"/>
    <w:rsid w:val="00BB7192"/>
    <w:rsid w:val="00BB7684"/>
    <w:rsid w:val="00BC0FCC"/>
    <w:rsid w:val="00BC43A3"/>
    <w:rsid w:val="00BE193A"/>
    <w:rsid w:val="00BE3A82"/>
    <w:rsid w:val="00BE4688"/>
    <w:rsid w:val="00BF218D"/>
    <w:rsid w:val="00BF49C1"/>
    <w:rsid w:val="00C01AF7"/>
    <w:rsid w:val="00C119AB"/>
    <w:rsid w:val="00C243D8"/>
    <w:rsid w:val="00C24CE2"/>
    <w:rsid w:val="00C2772F"/>
    <w:rsid w:val="00C30315"/>
    <w:rsid w:val="00C31DEC"/>
    <w:rsid w:val="00C33D93"/>
    <w:rsid w:val="00C345A7"/>
    <w:rsid w:val="00C35C60"/>
    <w:rsid w:val="00C41BA8"/>
    <w:rsid w:val="00C56B9F"/>
    <w:rsid w:val="00C57752"/>
    <w:rsid w:val="00C60B33"/>
    <w:rsid w:val="00C74663"/>
    <w:rsid w:val="00C75BE8"/>
    <w:rsid w:val="00C80B44"/>
    <w:rsid w:val="00C845E7"/>
    <w:rsid w:val="00C90D34"/>
    <w:rsid w:val="00CA40CF"/>
    <w:rsid w:val="00CB505A"/>
    <w:rsid w:val="00CC2708"/>
    <w:rsid w:val="00CC4618"/>
    <w:rsid w:val="00CD0FB7"/>
    <w:rsid w:val="00CD5568"/>
    <w:rsid w:val="00CE053E"/>
    <w:rsid w:val="00CE6FA8"/>
    <w:rsid w:val="00CF3214"/>
    <w:rsid w:val="00CF360B"/>
    <w:rsid w:val="00CF61DD"/>
    <w:rsid w:val="00D00C52"/>
    <w:rsid w:val="00D0117C"/>
    <w:rsid w:val="00D01195"/>
    <w:rsid w:val="00D05926"/>
    <w:rsid w:val="00D110E0"/>
    <w:rsid w:val="00D1113E"/>
    <w:rsid w:val="00D11848"/>
    <w:rsid w:val="00D13C3A"/>
    <w:rsid w:val="00D14943"/>
    <w:rsid w:val="00D22DAE"/>
    <w:rsid w:val="00D23E22"/>
    <w:rsid w:val="00D256DD"/>
    <w:rsid w:val="00D3062D"/>
    <w:rsid w:val="00D33FC3"/>
    <w:rsid w:val="00D36CA6"/>
    <w:rsid w:val="00D37B2B"/>
    <w:rsid w:val="00D404DE"/>
    <w:rsid w:val="00D40C70"/>
    <w:rsid w:val="00D41094"/>
    <w:rsid w:val="00D43FD6"/>
    <w:rsid w:val="00D4400A"/>
    <w:rsid w:val="00D545E5"/>
    <w:rsid w:val="00D57C09"/>
    <w:rsid w:val="00D66605"/>
    <w:rsid w:val="00D67B16"/>
    <w:rsid w:val="00D7284B"/>
    <w:rsid w:val="00D72F7B"/>
    <w:rsid w:val="00D738D2"/>
    <w:rsid w:val="00D75547"/>
    <w:rsid w:val="00D76762"/>
    <w:rsid w:val="00D77947"/>
    <w:rsid w:val="00D811F3"/>
    <w:rsid w:val="00D8283A"/>
    <w:rsid w:val="00D82DE4"/>
    <w:rsid w:val="00D84D04"/>
    <w:rsid w:val="00D90C78"/>
    <w:rsid w:val="00DB60F7"/>
    <w:rsid w:val="00DC315C"/>
    <w:rsid w:val="00DC34E5"/>
    <w:rsid w:val="00DD113C"/>
    <w:rsid w:val="00DD1470"/>
    <w:rsid w:val="00DD3C06"/>
    <w:rsid w:val="00DD3CB0"/>
    <w:rsid w:val="00DD4133"/>
    <w:rsid w:val="00DD62F9"/>
    <w:rsid w:val="00DD6798"/>
    <w:rsid w:val="00DE27DD"/>
    <w:rsid w:val="00DE2C0B"/>
    <w:rsid w:val="00DE49FF"/>
    <w:rsid w:val="00DF2545"/>
    <w:rsid w:val="00DF3229"/>
    <w:rsid w:val="00E06060"/>
    <w:rsid w:val="00E073F1"/>
    <w:rsid w:val="00E12339"/>
    <w:rsid w:val="00E13954"/>
    <w:rsid w:val="00E209BA"/>
    <w:rsid w:val="00E251B2"/>
    <w:rsid w:val="00E26A8E"/>
    <w:rsid w:val="00E30A93"/>
    <w:rsid w:val="00E319C7"/>
    <w:rsid w:val="00E31E6D"/>
    <w:rsid w:val="00E3427F"/>
    <w:rsid w:val="00E3693C"/>
    <w:rsid w:val="00E40C56"/>
    <w:rsid w:val="00E43AC2"/>
    <w:rsid w:val="00E45809"/>
    <w:rsid w:val="00E46CB2"/>
    <w:rsid w:val="00E52B43"/>
    <w:rsid w:val="00E55A22"/>
    <w:rsid w:val="00E5682D"/>
    <w:rsid w:val="00E56E52"/>
    <w:rsid w:val="00E572F1"/>
    <w:rsid w:val="00E63EAE"/>
    <w:rsid w:val="00E64A69"/>
    <w:rsid w:val="00E65A1A"/>
    <w:rsid w:val="00E6775F"/>
    <w:rsid w:val="00E70609"/>
    <w:rsid w:val="00E730DC"/>
    <w:rsid w:val="00E762F9"/>
    <w:rsid w:val="00E76B71"/>
    <w:rsid w:val="00E837CE"/>
    <w:rsid w:val="00E86F1B"/>
    <w:rsid w:val="00E91578"/>
    <w:rsid w:val="00E91E3C"/>
    <w:rsid w:val="00E92FF3"/>
    <w:rsid w:val="00E9782E"/>
    <w:rsid w:val="00EA49D7"/>
    <w:rsid w:val="00EA5D81"/>
    <w:rsid w:val="00EB058F"/>
    <w:rsid w:val="00EC1AB2"/>
    <w:rsid w:val="00EC557F"/>
    <w:rsid w:val="00EC5D0B"/>
    <w:rsid w:val="00ED011C"/>
    <w:rsid w:val="00ED0A30"/>
    <w:rsid w:val="00ED256F"/>
    <w:rsid w:val="00ED3510"/>
    <w:rsid w:val="00ED541A"/>
    <w:rsid w:val="00ED764F"/>
    <w:rsid w:val="00EF0FC2"/>
    <w:rsid w:val="00EF1A76"/>
    <w:rsid w:val="00EF554F"/>
    <w:rsid w:val="00EF7C44"/>
    <w:rsid w:val="00F00A18"/>
    <w:rsid w:val="00F0100A"/>
    <w:rsid w:val="00F02F64"/>
    <w:rsid w:val="00F1197C"/>
    <w:rsid w:val="00F12415"/>
    <w:rsid w:val="00F15C80"/>
    <w:rsid w:val="00F1778C"/>
    <w:rsid w:val="00F17C40"/>
    <w:rsid w:val="00F202A9"/>
    <w:rsid w:val="00F22AE3"/>
    <w:rsid w:val="00F22BE7"/>
    <w:rsid w:val="00F255DB"/>
    <w:rsid w:val="00F257F4"/>
    <w:rsid w:val="00F3061A"/>
    <w:rsid w:val="00F42FC5"/>
    <w:rsid w:val="00F43E87"/>
    <w:rsid w:val="00F44CDB"/>
    <w:rsid w:val="00F4538B"/>
    <w:rsid w:val="00F4611A"/>
    <w:rsid w:val="00F5022F"/>
    <w:rsid w:val="00F50775"/>
    <w:rsid w:val="00F50A65"/>
    <w:rsid w:val="00F52DEE"/>
    <w:rsid w:val="00F55ED6"/>
    <w:rsid w:val="00F56096"/>
    <w:rsid w:val="00F64E5A"/>
    <w:rsid w:val="00F65CFC"/>
    <w:rsid w:val="00F7054C"/>
    <w:rsid w:val="00F72AF5"/>
    <w:rsid w:val="00F72E0E"/>
    <w:rsid w:val="00F94013"/>
    <w:rsid w:val="00F962B6"/>
    <w:rsid w:val="00FA1482"/>
    <w:rsid w:val="00FA2208"/>
    <w:rsid w:val="00FB0EDC"/>
    <w:rsid w:val="00FB1591"/>
    <w:rsid w:val="00FB7B27"/>
    <w:rsid w:val="00FB7E7F"/>
    <w:rsid w:val="00FC07FE"/>
    <w:rsid w:val="00FC2D99"/>
    <w:rsid w:val="00FC56EB"/>
    <w:rsid w:val="00FC644D"/>
    <w:rsid w:val="00FC6FA1"/>
    <w:rsid w:val="00FD3742"/>
    <w:rsid w:val="00FD3F9D"/>
    <w:rsid w:val="00FD712C"/>
    <w:rsid w:val="00FE0581"/>
    <w:rsid w:val="00FE06BC"/>
    <w:rsid w:val="00FE4CCF"/>
    <w:rsid w:val="00FF088C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C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3D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6765"/>
  </w:style>
  <w:style w:type="character" w:customStyle="1" w:styleId="grame">
    <w:name w:val="grame"/>
    <w:basedOn w:val="a0"/>
    <w:rsid w:val="003D6765"/>
  </w:style>
  <w:style w:type="character" w:customStyle="1" w:styleId="a3">
    <w:name w:val="a"/>
    <w:basedOn w:val="a0"/>
    <w:rsid w:val="003D6765"/>
  </w:style>
  <w:style w:type="paragraph" w:styleId="a4">
    <w:name w:val="Balloon Text"/>
    <w:basedOn w:val="a"/>
    <w:link w:val="a5"/>
    <w:uiPriority w:val="99"/>
    <w:semiHidden/>
    <w:unhideWhenUsed/>
    <w:rsid w:val="003D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676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D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65"/>
    <w:rPr>
      <w:b/>
      <w:bCs/>
    </w:rPr>
  </w:style>
  <w:style w:type="character" w:styleId="a9">
    <w:name w:val="Hyperlink"/>
    <w:basedOn w:val="a0"/>
    <w:uiPriority w:val="99"/>
    <w:semiHidden/>
    <w:unhideWhenUsed/>
    <w:rsid w:val="003D67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6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6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4C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3D67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D6765"/>
  </w:style>
  <w:style w:type="character" w:customStyle="1" w:styleId="grame">
    <w:name w:val="grame"/>
    <w:basedOn w:val="a0"/>
    <w:rsid w:val="003D6765"/>
  </w:style>
  <w:style w:type="character" w:customStyle="1" w:styleId="a3">
    <w:name w:val="a"/>
    <w:basedOn w:val="a0"/>
    <w:rsid w:val="003D6765"/>
  </w:style>
  <w:style w:type="paragraph" w:styleId="a4">
    <w:name w:val="Balloon Text"/>
    <w:basedOn w:val="a"/>
    <w:link w:val="a5"/>
    <w:uiPriority w:val="99"/>
    <w:semiHidden/>
    <w:unhideWhenUsed/>
    <w:rsid w:val="003D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D676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D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65"/>
    <w:rPr>
      <w:b/>
      <w:bCs/>
    </w:rPr>
  </w:style>
  <w:style w:type="character" w:styleId="a9">
    <w:name w:val="Hyperlink"/>
    <w:basedOn w:val="a0"/>
    <w:uiPriority w:val="99"/>
    <w:semiHidden/>
    <w:unhideWhenUsed/>
    <w:rsid w:val="003D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mport.ru/data/chemipedia/article_1305.html" TargetMode="External"/><Relationship Id="rId18" Type="http://schemas.openxmlformats.org/officeDocument/2006/relationships/hyperlink" Target="http://www.chemport.ru/data/chemipedia/article_729.html" TargetMode="External"/><Relationship Id="rId26" Type="http://schemas.openxmlformats.org/officeDocument/2006/relationships/hyperlink" Target="http://www.chemport.ru/data/chemipedia/article_322.html" TargetMode="External"/><Relationship Id="rId39" Type="http://schemas.openxmlformats.org/officeDocument/2006/relationships/hyperlink" Target="http://www.chemport.ru/data/chemipedia/article_6327.html" TargetMode="External"/><Relationship Id="rId21" Type="http://schemas.openxmlformats.org/officeDocument/2006/relationships/hyperlink" Target="http://www.chemport.ru/data/chemipedia/article_2847.html" TargetMode="External"/><Relationship Id="rId34" Type="http://schemas.openxmlformats.org/officeDocument/2006/relationships/hyperlink" Target="http://www.chemport.ru/data/chemipedia/article_6337.html" TargetMode="External"/><Relationship Id="rId42" Type="http://schemas.openxmlformats.org/officeDocument/2006/relationships/hyperlink" Target="http://www.chemport.ru/data/chemipedia/article_3964.html" TargetMode="External"/><Relationship Id="rId47" Type="http://schemas.openxmlformats.org/officeDocument/2006/relationships/image" Target="media/image7.gif"/><Relationship Id="rId50" Type="http://schemas.openxmlformats.org/officeDocument/2006/relationships/image" Target="media/image10.gif"/><Relationship Id="rId55" Type="http://schemas.openxmlformats.org/officeDocument/2006/relationships/image" Target="media/image15.gif"/><Relationship Id="rId7" Type="http://schemas.openxmlformats.org/officeDocument/2006/relationships/hyperlink" Target="http://www.chemport.ru/data/chemipedia/article_692.html" TargetMode="External"/><Relationship Id="rId12" Type="http://schemas.openxmlformats.org/officeDocument/2006/relationships/hyperlink" Target="http://www.chemport.ru/data/chemipedia/article_3410.html" TargetMode="External"/><Relationship Id="rId17" Type="http://schemas.openxmlformats.org/officeDocument/2006/relationships/hyperlink" Target="http://www.chemport.ru/data/chemipedia/article_2219.html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chemport.ru/data/chemipedia/article_1503.html" TargetMode="External"/><Relationship Id="rId38" Type="http://schemas.openxmlformats.org/officeDocument/2006/relationships/hyperlink" Target="http://www.chemport.ru/data/chemipedia/article_322.html" TargetMode="External"/><Relationship Id="rId46" Type="http://schemas.openxmlformats.org/officeDocument/2006/relationships/hyperlink" Target="http://www.chemport.ru/data/chemipedia/article_183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port.ru/data/chemipedia/article_729.html" TargetMode="External"/><Relationship Id="rId20" Type="http://schemas.openxmlformats.org/officeDocument/2006/relationships/hyperlink" Target="http://www.chemport.ru/data/chemipedia/article_322.html" TargetMode="External"/><Relationship Id="rId29" Type="http://schemas.openxmlformats.org/officeDocument/2006/relationships/hyperlink" Target="http://www.chemport.ru/data/chemipedia/article_270.html" TargetMode="External"/><Relationship Id="rId41" Type="http://schemas.openxmlformats.org/officeDocument/2006/relationships/hyperlink" Target="http://www.chemport.ru/data/chemipedia/article_1048.html" TargetMode="External"/><Relationship Id="rId54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4.jpeg"/><Relationship Id="rId32" Type="http://schemas.openxmlformats.org/officeDocument/2006/relationships/hyperlink" Target="http://www.chemport.ru/data/chemipedia/article_1876.html" TargetMode="External"/><Relationship Id="rId37" Type="http://schemas.openxmlformats.org/officeDocument/2006/relationships/hyperlink" Target="http://www.chemport.ru/data/chemipedia/article_729.html" TargetMode="External"/><Relationship Id="rId40" Type="http://schemas.openxmlformats.org/officeDocument/2006/relationships/hyperlink" Target="http://www.chemport.ru/data/chemipedia/article_3230.html" TargetMode="External"/><Relationship Id="rId45" Type="http://schemas.openxmlformats.org/officeDocument/2006/relationships/hyperlink" Target="http://www.chemport.ru/data/chemipedia/article_1654.html" TargetMode="External"/><Relationship Id="rId53" Type="http://schemas.openxmlformats.org/officeDocument/2006/relationships/image" Target="media/image13.gif"/><Relationship Id="rId5" Type="http://schemas.openxmlformats.org/officeDocument/2006/relationships/webSettings" Target="webSettings.xml"/><Relationship Id="rId15" Type="http://schemas.openxmlformats.org/officeDocument/2006/relationships/hyperlink" Target="http://www.chemport.ru/data/chemipedia/article_729.html" TargetMode="External"/><Relationship Id="rId23" Type="http://schemas.openxmlformats.org/officeDocument/2006/relationships/hyperlink" Target="http://www.chemport.ru/data/chemipedia/article_322.html" TargetMode="External"/><Relationship Id="rId28" Type="http://schemas.openxmlformats.org/officeDocument/2006/relationships/hyperlink" Target="http://www.chemport.ru/data/chemipedia/article_4481.html" TargetMode="External"/><Relationship Id="rId36" Type="http://schemas.openxmlformats.org/officeDocument/2006/relationships/hyperlink" Target="http://www.chemport.ru/data/chemipedia/article_1305.html" TargetMode="External"/><Relationship Id="rId49" Type="http://schemas.openxmlformats.org/officeDocument/2006/relationships/image" Target="media/image9.gif"/><Relationship Id="rId57" Type="http://schemas.openxmlformats.org/officeDocument/2006/relationships/theme" Target="theme/theme1.xml"/><Relationship Id="rId10" Type="http://schemas.openxmlformats.org/officeDocument/2006/relationships/hyperlink" Target="http://www.chemport.ru/data/chemipedia/article_980.html" TargetMode="External"/><Relationship Id="rId19" Type="http://schemas.openxmlformats.org/officeDocument/2006/relationships/hyperlink" Target="http://www.chemport.ru/data/chemipedia/article_6053.html" TargetMode="External"/><Relationship Id="rId31" Type="http://schemas.openxmlformats.org/officeDocument/2006/relationships/hyperlink" Target="http://www.chemport.ru/data/chemipedia/article_3964.html" TargetMode="External"/><Relationship Id="rId44" Type="http://schemas.openxmlformats.org/officeDocument/2006/relationships/image" Target="media/image6.jpeg"/><Relationship Id="rId52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emport.ru/data/chemipedia/article_322.html" TargetMode="External"/><Relationship Id="rId22" Type="http://schemas.openxmlformats.org/officeDocument/2006/relationships/hyperlink" Target="http://www.chemport.ru/data/chemipedia/article_3663.html" TargetMode="External"/><Relationship Id="rId27" Type="http://schemas.openxmlformats.org/officeDocument/2006/relationships/hyperlink" Target="http://www.chemport.ru/data/chemipedia/article_2133.html" TargetMode="External"/><Relationship Id="rId30" Type="http://schemas.openxmlformats.org/officeDocument/2006/relationships/hyperlink" Target="http://www.chemport.ru/data/chemipedia/article_4013.html" TargetMode="External"/><Relationship Id="rId35" Type="http://schemas.openxmlformats.org/officeDocument/2006/relationships/hyperlink" Target="http://www.chemport.ru/data/chemipedia/article_2219.html" TargetMode="External"/><Relationship Id="rId43" Type="http://schemas.openxmlformats.org/officeDocument/2006/relationships/hyperlink" Target="http://www.chemport.ru/data/chemipedia/article_4549.html" TargetMode="External"/><Relationship Id="rId48" Type="http://schemas.openxmlformats.org/officeDocument/2006/relationships/image" Target="media/image8.gif"/><Relationship Id="rId56" Type="http://schemas.openxmlformats.org/officeDocument/2006/relationships/fontTable" Target="fontTable.xml"/><Relationship Id="rId8" Type="http://schemas.openxmlformats.org/officeDocument/2006/relationships/hyperlink" Target="http://www.chemport.ru/data/chemipedia/article_4549.html" TargetMode="External"/><Relationship Id="rId51" Type="http://schemas.openxmlformats.org/officeDocument/2006/relationships/image" Target="media/image11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 Shutylev</dc:creator>
  <cp:keywords/>
  <dc:description/>
  <cp:lastModifiedBy>Danil Shutylev</cp:lastModifiedBy>
  <cp:revision>8</cp:revision>
  <dcterms:created xsi:type="dcterms:W3CDTF">2014-06-05T23:09:00Z</dcterms:created>
  <dcterms:modified xsi:type="dcterms:W3CDTF">2014-06-06T00:01:00Z</dcterms:modified>
</cp:coreProperties>
</file>