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Cs w:val="28"/>
        </w:rPr>
        <w:id w:val="-196091074"/>
        <w:docPartObj>
          <w:docPartGallery w:val="Cover Pages"/>
          <w:docPartUnique/>
        </w:docPartObj>
      </w:sdtPr>
      <w:sdtEndPr>
        <w:rPr>
          <w:szCs w:val="24"/>
        </w:rPr>
      </w:sdtEndPr>
      <w:sdtContent>
        <w:p w14:paraId="73E5E242" w14:textId="10056792" w:rsidR="00971844" w:rsidRPr="001A5B27" w:rsidRDefault="00971844" w:rsidP="0006462B">
          <w:pPr>
            <w:spacing w:line="360" w:lineRule="auto"/>
            <w:jc w:val="center"/>
            <w:rPr>
              <w:szCs w:val="28"/>
            </w:rPr>
          </w:pPr>
          <w:r w:rsidRPr="001A5B27">
            <w:rPr>
              <w:szCs w:val="28"/>
            </w:rPr>
            <w:t>Санкт-Петербургский Политехнический Университет Петра Великого</w:t>
          </w:r>
        </w:p>
        <w:p w14:paraId="5525F869" w14:textId="77777777" w:rsidR="00971844" w:rsidRPr="001A5B27" w:rsidRDefault="00971844" w:rsidP="0006462B">
          <w:pPr>
            <w:spacing w:line="360" w:lineRule="auto"/>
            <w:jc w:val="center"/>
            <w:rPr>
              <w:szCs w:val="28"/>
            </w:rPr>
          </w:pPr>
          <w:r w:rsidRPr="001A5B27">
            <w:rPr>
              <w:szCs w:val="28"/>
            </w:rPr>
            <w:t>Институт металлургии, машиностроения и транспорта</w:t>
          </w:r>
        </w:p>
        <w:p w14:paraId="2CB7A67E" w14:textId="54F7D552" w:rsidR="00971844" w:rsidRPr="001A5B27" w:rsidRDefault="00971844" w:rsidP="0006462B">
          <w:pPr>
            <w:spacing w:line="360" w:lineRule="auto"/>
            <w:jc w:val="center"/>
            <w:rPr>
              <w:szCs w:val="28"/>
            </w:rPr>
          </w:pPr>
          <w:r w:rsidRPr="001A5B27">
            <w:rPr>
              <w:szCs w:val="28"/>
            </w:rPr>
            <w:t>Кафедра «</w:t>
          </w:r>
          <w:r>
            <w:rPr>
              <w:szCs w:val="28"/>
            </w:rPr>
            <w:t>ФИЗИЧЕСКАЯ ХИМИЯ, МИКРО- И НАНОТЕХНОЛОГИИ</w:t>
          </w:r>
          <w:r w:rsidRPr="001A5B27">
            <w:rPr>
              <w:szCs w:val="28"/>
            </w:rPr>
            <w:t>»</w:t>
          </w:r>
        </w:p>
        <w:p w14:paraId="1C7AFB27" w14:textId="77777777" w:rsidR="00971844" w:rsidRPr="001A5B27" w:rsidRDefault="00971844" w:rsidP="0006462B">
          <w:pPr>
            <w:spacing w:line="360" w:lineRule="auto"/>
            <w:jc w:val="center"/>
            <w:rPr>
              <w:szCs w:val="28"/>
            </w:rPr>
          </w:pPr>
        </w:p>
        <w:p w14:paraId="3501D6AB" w14:textId="77777777" w:rsidR="00971844" w:rsidRPr="001A5B27" w:rsidRDefault="00971844" w:rsidP="0006462B">
          <w:pPr>
            <w:jc w:val="center"/>
            <w:rPr>
              <w:szCs w:val="28"/>
            </w:rPr>
          </w:pPr>
        </w:p>
        <w:p w14:paraId="22952D3F" w14:textId="77777777" w:rsidR="00971844" w:rsidRPr="001A5B27" w:rsidRDefault="00971844" w:rsidP="00234B30">
          <w:pPr>
            <w:rPr>
              <w:szCs w:val="28"/>
            </w:rPr>
          </w:pPr>
        </w:p>
        <w:p w14:paraId="4FF59C88" w14:textId="77777777" w:rsidR="00971844" w:rsidRPr="001A5B27" w:rsidRDefault="00971844" w:rsidP="0006462B">
          <w:pPr>
            <w:jc w:val="center"/>
            <w:rPr>
              <w:szCs w:val="28"/>
            </w:rPr>
          </w:pPr>
        </w:p>
        <w:p w14:paraId="1C82F4A9" w14:textId="77777777" w:rsidR="00971844" w:rsidRPr="001A5B27" w:rsidRDefault="00971844" w:rsidP="0006462B">
          <w:pPr>
            <w:rPr>
              <w:szCs w:val="28"/>
            </w:rPr>
          </w:pPr>
        </w:p>
        <w:p w14:paraId="66F0B668" w14:textId="77777777" w:rsidR="00971844" w:rsidRDefault="00971844" w:rsidP="0006462B">
          <w:pPr>
            <w:jc w:val="center"/>
            <w:rPr>
              <w:szCs w:val="28"/>
            </w:rPr>
          </w:pPr>
        </w:p>
        <w:p w14:paraId="3B92AAC5" w14:textId="77777777" w:rsidR="00971844" w:rsidRPr="001A5B27" w:rsidRDefault="00971844" w:rsidP="00234B30">
          <w:pPr>
            <w:jc w:val="center"/>
            <w:rPr>
              <w:szCs w:val="28"/>
            </w:rPr>
          </w:pPr>
        </w:p>
        <w:p w14:paraId="04AE0C21" w14:textId="77777777" w:rsidR="00971844" w:rsidRPr="001A5B27" w:rsidRDefault="00971844" w:rsidP="0006462B">
          <w:pPr>
            <w:jc w:val="center"/>
            <w:rPr>
              <w:szCs w:val="28"/>
            </w:rPr>
          </w:pPr>
        </w:p>
        <w:p w14:paraId="2414092F" w14:textId="77777777" w:rsidR="00971844" w:rsidRPr="001A5B27" w:rsidRDefault="00971844" w:rsidP="0006462B">
          <w:pPr>
            <w:jc w:val="center"/>
            <w:rPr>
              <w:szCs w:val="28"/>
            </w:rPr>
          </w:pPr>
        </w:p>
        <w:p w14:paraId="37BC290C" w14:textId="6AF81CE7" w:rsidR="00971844" w:rsidRDefault="00971844" w:rsidP="0006462B">
          <w:pPr>
            <w:jc w:val="center"/>
            <w:rPr>
              <w:szCs w:val="28"/>
            </w:rPr>
          </w:pPr>
          <w:r>
            <w:rPr>
              <w:szCs w:val="28"/>
            </w:rPr>
            <w:t>Отчет по лабораторной работе №</w:t>
          </w:r>
          <w:r w:rsidR="009D0E3B">
            <w:rPr>
              <w:szCs w:val="28"/>
            </w:rPr>
            <w:t>6</w:t>
          </w:r>
        </w:p>
        <w:p w14:paraId="44486392" w14:textId="2C8B8B3F" w:rsidR="00971844" w:rsidRPr="0082410F" w:rsidRDefault="00971844" w:rsidP="0006462B">
          <w:pPr>
            <w:jc w:val="center"/>
            <w:rPr>
              <w:szCs w:val="28"/>
            </w:rPr>
          </w:pPr>
          <w:r>
            <w:rPr>
              <w:szCs w:val="28"/>
            </w:rPr>
            <w:t>«</w:t>
          </w:r>
          <w:r w:rsidR="009D0E3B">
            <w:rPr>
              <w:szCs w:val="28"/>
            </w:rPr>
            <w:t>Вязкость шлаковых расплавов</w:t>
          </w:r>
          <w:r>
            <w:rPr>
              <w:szCs w:val="28"/>
            </w:rPr>
            <w:t>»</w:t>
          </w:r>
        </w:p>
        <w:p w14:paraId="487F7FCF" w14:textId="77777777" w:rsidR="00971844" w:rsidRPr="001A5B27" w:rsidRDefault="00971844" w:rsidP="0006462B">
          <w:pPr>
            <w:jc w:val="center"/>
            <w:rPr>
              <w:szCs w:val="28"/>
            </w:rPr>
          </w:pPr>
        </w:p>
        <w:p w14:paraId="5E5708DB" w14:textId="77777777" w:rsidR="00971844" w:rsidRPr="001A5B27" w:rsidRDefault="00971844" w:rsidP="0006462B">
          <w:pPr>
            <w:jc w:val="center"/>
            <w:rPr>
              <w:szCs w:val="28"/>
            </w:rPr>
          </w:pPr>
        </w:p>
        <w:p w14:paraId="4BFB9F89" w14:textId="77777777" w:rsidR="00971844" w:rsidRPr="001A5B27" w:rsidRDefault="00971844" w:rsidP="0006462B">
          <w:pPr>
            <w:jc w:val="center"/>
            <w:rPr>
              <w:szCs w:val="28"/>
            </w:rPr>
          </w:pPr>
        </w:p>
        <w:p w14:paraId="0F242CC7" w14:textId="77777777" w:rsidR="00971844" w:rsidRPr="001A5B27" w:rsidRDefault="00971844" w:rsidP="0006462B">
          <w:pPr>
            <w:jc w:val="center"/>
            <w:rPr>
              <w:szCs w:val="28"/>
            </w:rPr>
          </w:pPr>
        </w:p>
        <w:p w14:paraId="389B8D71" w14:textId="5268A9FF" w:rsidR="00971844" w:rsidRPr="001A5B27" w:rsidRDefault="00971844" w:rsidP="00971844">
          <w:pPr>
            <w:rPr>
              <w:szCs w:val="28"/>
            </w:rPr>
          </w:pPr>
        </w:p>
        <w:p w14:paraId="428DF8E6" w14:textId="77777777" w:rsidR="00971844" w:rsidRPr="001A5B27" w:rsidRDefault="00971844" w:rsidP="0006462B">
          <w:pPr>
            <w:jc w:val="center"/>
            <w:rPr>
              <w:szCs w:val="28"/>
            </w:rPr>
          </w:pPr>
        </w:p>
        <w:p w14:paraId="5B926905" w14:textId="77777777" w:rsidR="00971844" w:rsidRPr="001A5B27" w:rsidRDefault="00971844" w:rsidP="0006462B">
          <w:pPr>
            <w:jc w:val="center"/>
            <w:rPr>
              <w:szCs w:val="28"/>
            </w:rPr>
          </w:pPr>
        </w:p>
        <w:p w14:paraId="1AD3BA03" w14:textId="77777777" w:rsidR="00971844" w:rsidRPr="001A5B27" w:rsidRDefault="00971844" w:rsidP="0006462B">
          <w:pPr>
            <w:jc w:val="center"/>
            <w:rPr>
              <w:szCs w:val="28"/>
            </w:rPr>
          </w:pPr>
        </w:p>
        <w:p w14:paraId="4793CCB9" w14:textId="1B0428A2" w:rsidR="00971844" w:rsidRDefault="00971844" w:rsidP="0006462B">
          <w:pPr>
            <w:jc w:val="center"/>
            <w:rPr>
              <w:szCs w:val="28"/>
            </w:rPr>
          </w:pPr>
        </w:p>
        <w:p w14:paraId="09978494" w14:textId="77777777" w:rsidR="00971844" w:rsidRPr="001A5B27" w:rsidRDefault="00971844" w:rsidP="0006462B">
          <w:pPr>
            <w:jc w:val="center"/>
            <w:rPr>
              <w:szCs w:val="28"/>
            </w:rPr>
          </w:pPr>
        </w:p>
        <w:p w14:paraId="0C21A190" w14:textId="77777777" w:rsidR="00971844" w:rsidRPr="001A5B27" w:rsidRDefault="00971844" w:rsidP="0006462B">
          <w:pPr>
            <w:spacing w:line="360" w:lineRule="auto"/>
            <w:rPr>
              <w:szCs w:val="28"/>
            </w:rPr>
          </w:pPr>
          <w:r w:rsidRPr="001A5B27">
            <w:rPr>
              <w:szCs w:val="28"/>
            </w:rPr>
            <w:t xml:space="preserve">Выполнил:           </w:t>
          </w:r>
        </w:p>
        <w:p w14:paraId="013FC850" w14:textId="493764A7" w:rsidR="00971844" w:rsidRPr="001A5B27" w:rsidRDefault="00971844" w:rsidP="0006462B">
          <w:pPr>
            <w:spacing w:line="360" w:lineRule="auto"/>
            <w:rPr>
              <w:szCs w:val="28"/>
            </w:rPr>
          </w:pPr>
          <w:r w:rsidRPr="001A5B27">
            <w:rPr>
              <w:szCs w:val="28"/>
            </w:rPr>
            <w:t xml:space="preserve">студент гр.33314/1                           </w:t>
          </w:r>
          <w:r>
            <w:rPr>
              <w:szCs w:val="28"/>
            </w:rPr>
            <w:t xml:space="preserve">   </w:t>
          </w:r>
          <w:r w:rsidRPr="004E6FCB">
            <w:rPr>
              <w:szCs w:val="28"/>
              <w:vertAlign w:val="subscript"/>
            </w:rPr>
            <w:t>&lt;подпись&gt;</w:t>
          </w:r>
          <w:r>
            <w:rPr>
              <w:szCs w:val="28"/>
            </w:rPr>
            <w:t xml:space="preserve">                     </w:t>
          </w:r>
          <w:r w:rsidRPr="001A5B27">
            <w:rPr>
              <w:szCs w:val="28"/>
            </w:rPr>
            <w:t xml:space="preserve"> </w:t>
          </w:r>
          <w:r w:rsidR="004E6FCB">
            <w:rPr>
              <w:szCs w:val="28"/>
            </w:rPr>
            <w:tab/>
          </w:r>
          <w:r w:rsidRPr="001A5B27">
            <w:rPr>
              <w:szCs w:val="28"/>
            </w:rPr>
            <w:t>Сидоров Н.А.</w:t>
          </w:r>
        </w:p>
        <w:p w14:paraId="06F464FB" w14:textId="77777777" w:rsidR="00971844" w:rsidRPr="001A5B27" w:rsidRDefault="00971844" w:rsidP="0006462B">
          <w:pPr>
            <w:spacing w:line="360" w:lineRule="auto"/>
            <w:rPr>
              <w:szCs w:val="28"/>
            </w:rPr>
          </w:pPr>
        </w:p>
        <w:p w14:paraId="68D2A256" w14:textId="77777777" w:rsidR="00971844" w:rsidRPr="001A5B27" w:rsidRDefault="00971844" w:rsidP="0006462B">
          <w:pPr>
            <w:spacing w:line="360" w:lineRule="auto"/>
            <w:rPr>
              <w:szCs w:val="28"/>
            </w:rPr>
          </w:pPr>
          <w:r w:rsidRPr="001A5B27">
            <w:rPr>
              <w:szCs w:val="28"/>
            </w:rPr>
            <w:t>Проверил:</w:t>
          </w:r>
        </w:p>
        <w:p w14:paraId="73AAA893" w14:textId="6FEAA00D" w:rsidR="00971844" w:rsidRPr="001A5B27" w:rsidRDefault="00932AC2" w:rsidP="00234B30">
          <w:pPr>
            <w:spacing w:line="360" w:lineRule="auto"/>
            <w:rPr>
              <w:szCs w:val="28"/>
            </w:rPr>
          </w:pPr>
          <w:r>
            <w:rPr>
              <w:szCs w:val="28"/>
            </w:rPr>
            <w:t>ассистент</w:t>
          </w:r>
          <w:r w:rsidR="00971844" w:rsidRPr="001A5B27">
            <w:rPr>
              <w:szCs w:val="28"/>
            </w:rPr>
            <w:t xml:space="preserve">      </w:t>
          </w:r>
          <w:r w:rsidR="00971844">
            <w:rPr>
              <w:szCs w:val="28"/>
            </w:rPr>
            <w:t xml:space="preserve">                              </w:t>
          </w:r>
          <w:r w:rsidR="00971844">
            <w:rPr>
              <w:szCs w:val="28"/>
            </w:rPr>
            <w:tab/>
            <w:t xml:space="preserve"> </w:t>
          </w:r>
          <w:r w:rsidR="00971844" w:rsidRPr="004E6FCB">
            <w:rPr>
              <w:szCs w:val="28"/>
              <w:vertAlign w:val="subscript"/>
            </w:rPr>
            <w:t>&lt;подпись&gt;</w:t>
          </w:r>
          <w:r w:rsidR="00971844" w:rsidRPr="001A5B27">
            <w:rPr>
              <w:szCs w:val="28"/>
            </w:rPr>
            <w:t xml:space="preserve">  </w:t>
          </w:r>
          <w:r w:rsidR="00971844">
            <w:rPr>
              <w:szCs w:val="28"/>
            </w:rPr>
            <w:t xml:space="preserve">                  </w:t>
          </w:r>
          <w:r w:rsidR="00D64179">
            <w:rPr>
              <w:szCs w:val="28"/>
            </w:rPr>
            <w:t>Михайловский Г.А.</w:t>
          </w:r>
        </w:p>
        <w:p w14:paraId="75120423" w14:textId="77777777" w:rsidR="00971844" w:rsidRPr="001A5B27" w:rsidRDefault="00971844" w:rsidP="0006462B">
          <w:pPr>
            <w:rPr>
              <w:szCs w:val="28"/>
            </w:rPr>
          </w:pPr>
        </w:p>
        <w:p w14:paraId="4F35B2EB" w14:textId="77777777" w:rsidR="00971844" w:rsidRPr="001A5B27" w:rsidRDefault="00971844" w:rsidP="0006462B">
          <w:pPr>
            <w:rPr>
              <w:szCs w:val="28"/>
            </w:rPr>
          </w:pPr>
        </w:p>
        <w:p w14:paraId="5A1DB31E" w14:textId="77777777" w:rsidR="00971844" w:rsidRPr="001A5B27" w:rsidRDefault="00971844" w:rsidP="0006462B">
          <w:pPr>
            <w:rPr>
              <w:szCs w:val="28"/>
            </w:rPr>
          </w:pPr>
        </w:p>
        <w:p w14:paraId="406D6642" w14:textId="77777777" w:rsidR="00971844" w:rsidRPr="001A5B27" w:rsidRDefault="00971844" w:rsidP="0006462B">
          <w:pPr>
            <w:rPr>
              <w:szCs w:val="28"/>
            </w:rPr>
          </w:pPr>
        </w:p>
        <w:p w14:paraId="3FF8BC15" w14:textId="77777777" w:rsidR="00971844" w:rsidRPr="001A5B27" w:rsidRDefault="00971844" w:rsidP="0006462B">
          <w:pPr>
            <w:rPr>
              <w:szCs w:val="28"/>
            </w:rPr>
          </w:pPr>
        </w:p>
        <w:p w14:paraId="09EDB41B" w14:textId="027B61EE" w:rsidR="00971844" w:rsidRPr="001A5B27" w:rsidRDefault="00971844" w:rsidP="0006462B">
          <w:pPr>
            <w:rPr>
              <w:szCs w:val="28"/>
            </w:rPr>
          </w:pPr>
        </w:p>
        <w:p w14:paraId="7F231FFC" w14:textId="09275178" w:rsidR="00971844" w:rsidRDefault="00971844" w:rsidP="0006462B">
          <w:pPr>
            <w:rPr>
              <w:szCs w:val="28"/>
            </w:rPr>
          </w:pPr>
        </w:p>
        <w:p w14:paraId="446D1D58" w14:textId="290B8E04" w:rsidR="00971844" w:rsidRDefault="00971844" w:rsidP="0006462B">
          <w:pPr>
            <w:rPr>
              <w:szCs w:val="28"/>
            </w:rPr>
          </w:pPr>
        </w:p>
        <w:p w14:paraId="0FA1C4AB" w14:textId="4C029B14" w:rsidR="00971844" w:rsidRPr="001A5B27" w:rsidRDefault="00971844" w:rsidP="0006462B">
          <w:pPr>
            <w:rPr>
              <w:szCs w:val="28"/>
            </w:rPr>
          </w:pPr>
        </w:p>
        <w:p w14:paraId="018EFEE3" w14:textId="77777777" w:rsidR="00971844" w:rsidRPr="001A5B27" w:rsidRDefault="00971844" w:rsidP="0006462B">
          <w:pPr>
            <w:jc w:val="center"/>
            <w:rPr>
              <w:szCs w:val="28"/>
            </w:rPr>
          </w:pPr>
          <w:r w:rsidRPr="001A5B27">
            <w:rPr>
              <w:szCs w:val="28"/>
            </w:rPr>
            <w:t>Санкт-Петербург</w:t>
          </w:r>
        </w:p>
        <w:p w14:paraId="7DFA5F2B" w14:textId="05587844" w:rsidR="0006462B" w:rsidRDefault="00971844" w:rsidP="00971844">
          <w:pPr>
            <w:jc w:val="center"/>
          </w:pPr>
          <w:r w:rsidRPr="001A5B27">
            <w:rPr>
              <w:szCs w:val="28"/>
            </w:rPr>
            <w:t>2015</w:t>
          </w:r>
        </w:p>
      </w:sdtContent>
    </w:sdt>
    <w:p w14:paraId="62283735" w14:textId="77777777" w:rsidR="000B647C" w:rsidRPr="000B647C" w:rsidRDefault="000B647C" w:rsidP="000B647C">
      <w:pPr>
        <w:rPr>
          <w:b/>
        </w:rPr>
      </w:pPr>
      <w:r w:rsidRPr="000B647C">
        <w:rPr>
          <w:b/>
        </w:rPr>
        <w:lastRenderedPageBreak/>
        <w:t>Цель работы</w:t>
      </w:r>
    </w:p>
    <w:p w14:paraId="3BDAC665" w14:textId="77777777" w:rsidR="000B647C" w:rsidRPr="000B647C" w:rsidRDefault="000B647C" w:rsidP="000B647C">
      <w:r w:rsidRPr="000B647C">
        <w:t>Определение скорости процесса окисления образца металла или сплава, протекающего при высоких температурах в атмосфере воздуха, и выявление характера ее изменения от времени при постоянной температуре.</w:t>
      </w:r>
    </w:p>
    <w:p w14:paraId="52F9D7DF" w14:textId="77777777" w:rsidR="000B647C" w:rsidRPr="000B647C" w:rsidRDefault="000B647C" w:rsidP="000B647C"/>
    <w:p w14:paraId="55DB7547" w14:textId="77777777" w:rsidR="000B647C" w:rsidRPr="000B647C" w:rsidRDefault="000B647C" w:rsidP="000B647C">
      <w:pPr>
        <w:numPr>
          <w:ilvl w:val="0"/>
          <w:numId w:val="8"/>
        </w:numPr>
      </w:pPr>
      <w:r w:rsidRPr="000B647C">
        <w:t>Теоретическая часть</w:t>
      </w:r>
    </w:p>
    <w:p w14:paraId="5F2F1AE1" w14:textId="77777777" w:rsidR="000B647C" w:rsidRPr="000B647C" w:rsidRDefault="000B647C" w:rsidP="000B647C">
      <w:r w:rsidRPr="000B647C">
        <w:t>Если металл будет помещен в атмосферу, в которой парциальное давление кислорода превышает давление диссоциации оксида этого металла, то на его поверхности будет образовываться слой окалины, толщина которого будет расти со временем. Окисление металла является гетерогенным процессом, состоящим из следующих стадий:</w:t>
      </w:r>
    </w:p>
    <w:p w14:paraId="2D270DC5" w14:textId="77777777" w:rsidR="000B647C" w:rsidRPr="000B647C" w:rsidRDefault="000B647C" w:rsidP="000B647C">
      <w:r w:rsidRPr="000B647C">
        <w:t>1)  массоперенос окислительного газа к поверхности металла (внешняя диффузия);</w:t>
      </w:r>
    </w:p>
    <w:p w14:paraId="4E4804D9" w14:textId="77777777" w:rsidR="000B647C" w:rsidRPr="000B647C" w:rsidRDefault="000B647C" w:rsidP="000B647C">
      <w:r w:rsidRPr="000B647C">
        <w:t>2) адсорбция газа на этой поверхности;</w:t>
      </w:r>
    </w:p>
    <w:p w14:paraId="3BEEE135" w14:textId="77777777" w:rsidR="000B647C" w:rsidRPr="000B647C" w:rsidRDefault="000B647C" w:rsidP="000B647C">
      <w:r w:rsidRPr="000B647C">
        <w:t>3) образование слоя продуктов окисления;</w:t>
      </w:r>
    </w:p>
    <w:p w14:paraId="56428911" w14:textId="77777777" w:rsidR="000B647C" w:rsidRPr="000B647C" w:rsidRDefault="000B647C" w:rsidP="000B647C">
      <w:r w:rsidRPr="000B647C">
        <w:t>4) диффузия в структуре слоя оксида веществ, принимающих участие в химической реакции (внутренняя диффузия).</w:t>
      </w:r>
    </w:p>
    <w:p w14:paraId="519130B5" w14:textId="77777777" w:rsidR="000B647C" w:rsidRPr="000B647C" w:rsidRDefault="000B647C" w:rsidP="000B647C">
      <w:r w:rsidRPr="000B647C">
        <w:t>В большинстве случаев лимитирующими стадиями являются внутренняя диффузия через слой окалины или образование слоя окалины, в соответствии с которыми различают диффузионный и кинетический режимы протекания процесса.</w:t>
      </w:r>
    </w:p>
    <w:p w14:paraId="4A06804C" w14:textId="77777777" w:rsidR="000B647C" w:rsidRPr="000B647C" w:rsidRDefault="000B647C" w:rsidP="000B647C">
      <w:r w:rsidRPr="000B647C">
        <w:t>О характере стадии, лимитирующей скорость образования окалины можно судить по виду графических зависимостей толщины окалины или скорости процесса от времени окисления. Экспериментально определяют не толщину окалины, а прирост массы металла за счет образования оксида. Тогда зависимости прироста массы и скорости процесса от времени будут иметь вид:</w:t>
      </w:r>
    </w:p>
    <w:p w14:paraId="7674B6B4" w14:textId="77777777" w:rsidR="000B647C" w:rsidRPr="000B647C" w:rsidRDefault="000B647C" w:rsidP="000B647C">
      <w:r w:rsidRPr="000B647C">
        <w:rPr>
          <w:noProof/>
        </w:rPr>
        <w:drawing>
          <wp:inline distT="0" distB="0" distL="0" distR="0" wp14:anchorId="0A9693ED" wp14:editId="4DB5A671">
            <wp:extent cx="4848225" cy="2057400"/>
            <wp:effectExtent l="19050" t="0" r="9525" b="0"/>
            <wp:docPr id="1" name="Рисунок 0" descr="раб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б 5.tif"/>
                    <pic:cNvPicPr/>
                  </pic:nvPicPr>
                  <pic:blipFill>
                    <a:blip r:embed="rId6"/>
                    <a:stretch>
                      <a:fillRect/>
                    </a:stretch>
                  </pic:blipFill>
                  <pic:spPr>
                    <a:xfrm>
                      <a:off x="0" y="0"/>
                      <a:ext cx="4848225" cy="2057400"/>
                    </a:xfrm>
                    <a:prstGeom prst="rect">
                      <a:avLst/>
                    </a:prstGeom>
                  </pic:spPr>
                </pic:pic>
              </a:graphicData>
            </a:graphic>
          </wp:inline>
        </w:drawing>
      </w:r>
      <w:r w:rsidRPr="000B647C">
        <w:br/>
        <w:t xml:space="preserve">Рис. 1. Примерные зависимости увеличения массы и изменения скорости со временем. </w:t>
      </w:r>
      <w:r w:rsidRPr="000B647C">
        <w:br/>
        <w:t>1 – кинетический режим; 2 – диффузионный режим.</w:t>
      </w:r>
    </w:p>
    <w:p w14:paraId="76920216" w14:textId="77777777" w:rsidR="000B647C" w:rsidRPr="000B647C" w:rsidRDefault="000B647C" w:rsidP="000B647C"/>
    <w:p w14:paraId="5A66F901" w14:textId="77777777" w:rsidR="000B647C" w:rsidRPr="000B647C" w:rsidRDefault="000B647C" w:rsidP="000B647C">
      <w:pPr>
        <w:numPr>
          <w:ilvl w:val="0"/>
          <w:numId w:val="8"/>
        </w:numPr>
      </w:pPr>
      <w:r w:rsidRPr="000B647C">
        <w:t>Методика выполнения работы и используемое оборудование</w:t>
      </w:r>
    </w:p>
    <w:p w14:paraId="3B6B94AC" w14:textId="77777777" w:rsidR="000B647C" w:rsidRPr="000B647C" w:rsidRDefault="000B647C" w:rsidP="000B647C">
      <w:r w:rsidRPr="000B647C">
        <w:t xml:space="preserve">В основе методики – периодическое взвешивание нагреваемого образца без извлечения его из реактивного пространства при постоянной температуре. </w:t>
      </w:r>
    </w:p>
    <w:p w14:paraId="2933673F" w14:textId="3A863263" w:rsidR="000B647C" w:rsidRPr="000B647C" w:rsidRDefault="000B647C" w:rsidP="000B647C">
      <w:r w:rsidRPr="000B647C">
        <w:lastRenderedPageBreak/>
        <w:t>Установка должна быть подготовлена к работе: включены компьютер и электронные весы, печь нагрета до температуры 750</w:t>
      </w:r>
      <m:oMath>
        <m:r>
          <w:rPr>
            <w:rFonts w:ascii="Cambria Math" w:hAnsi="Cambria Math"/>
          </w:rPr>
          <m:t>℃</m:t>
        </m:r>
      </m:oMath>
      <w:r w:rsidRPr="000B647C">
        <w:t>. Измеряем размеры образцов металла, подготавливаем пластины к работе (зачищаем и помещаем в корзиночку с подвеской). Настраиваем программу и, когда помещаем корзиночку с образцами в печь, начинаем измерения прироста массы. Через заданное время 40 минут завершаем опыт.</w:t>
      </w:r>
    </w:p>
    <w:p w14:paraId="340CB0C8" w14:textId="77777777" w:rsidR="000B647C" w:rsidRPr="000B647C" w:rsidRDefault="000B647C" w:rsidP="000B647C">
      <w:r w:rsidRPr="000B647C">
        <w:rPr>
          <w:noProof/>
        </w:rPr>
        <w:drawing>
          <wp:inline distT="0" distB="0" distL="0" distR="0" wp14:anchorId="4CBF117F" wp14:editId="590F03CF">
            <wp:extent cx="4941238" cy="3826548"/>
            <wp:effectExtent l="0" t="0" r="0" b="0"/>
            <wp:docPr id="2" name="Рисунок 1" descr="раб 5 установка.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аб 5 установка.tif"/>
                    <pic:cNvPicPr/>
                  </pic:nvPicPr>
                  <pic:blipFill>
                    <a:blip r:embed="rId7"/>
                    <a:stretch>
                      <a:fillRect/>
                    </a:stretch>
                  </pic:blipFill>
                  <pic:spPr>
                    <a:xfrm>
                      <a:off x="0" y="0"/>
                      <a:ext cx="4943388" cy="3828213"/>
                    </a:xfrm>
                    <a:prstGeom prst="rect">
                      <a:avLst/>
                    </a:prstGeom>
                  </pic:spPr>
                </pic:pic>
              </a:graphicData>
            </a:graphic>
          </wp:inline>
        </w:drawing>
      </w:r>
      <w:r w:rsidRPr="000B647C">
        <w:br/>
        <w:t xml:space="preserve">Рис. 2. Схема установки для изучения кинетики процесса высокотемпературного окисления металла. 1 – печь; 2 – корзиночка с образцом; 3 – термопара; </w:t>
      </w:r>
    </w:p>
    <w:p w14:paraId="65E6BAC7" w14:textId="77777777" w:rsidR="000B647C" w:rsidRPr="000B647C" w:rsidRDefault="000B647C" w:rsidP="000B647C">
      <w:r w:rsidRPr="000B647C">
        <w:t xml:space="preserve">4 – автотрансформатор; 5 – амперметр; 6 – микропроцессорный измеритель; </w:t>
      </w:r>
    </w:p>
    <w:p w14:paraId="5F984121" w14:textId="77777777" w:rsidR="000B647C" w:rsidRPr="000B647C" w:rsidRDefault="000B647C" w:rsidP="000B647C">
      <w:r w:rsidRPr="000B647C">
        <w:t>7 и 8 – весовой и электронный блоки электронных аналитических весов.</w:t>
      </w:r>
    </w:p>
    <w:p w14:paraId="6F076AD9" w14:textId="77777777" w:rsidR="000B647C" w:rsidRPr="000B647C" w:rsidRDefault="000B647C" w:rsidP="000B647C"/>
    <w:p w14:paraId="7B033D15" w14:textId="1DB56C3C" w:rsidR="000B647C" w:rsidRPr="00AD5026" w:rsidRDefault="000B647C" w:rsidP="000B647C">
      <w:pPr>
        <w:rPr>
          <w:b/>
        </w:rPr>
      </w:pPr>
      <w:r w:rsidRPr="000B647C">
        <w:rPr>
          <w:b/>
        </w:rPr>
        <w:t>Полученные результаты:</w:t>
      </w:r>
    </w:p>
    <w:p w14:paraId="464B50A1" w14:textId="01365D75" w:rsidR="000B647C" w:rsidRPr="000B647C" w:rsidRDefault="000B647C" w:rsidP="000B647C">
      <w:r w:rsidRPr="000B647C">
        <w:t>Исходные пластин</w:t>
      </w:r>
      <w:r w:rsidR="00AD5026">
        <w:t>а</w:t>
      </w:r>
      <w:r w:rsidRPr="000B647C">
        <w:t xml:space="preserve"> металла имел</w:t>
      </w:r>
      <w:r w:rsidR="00AD5026">
        <w:t>а</w:t>
      </w:r>
      <w:r w:rsidRPr="000B647C">
        <w:t xml:space="preserve"> размеры:</w:t>
      </w:r>
    </w:p>
    <w:p w14:paraId="52611005" w14:textId="43685A8B" w:rsidR="000B647C" w:rsidRPr="000B647C" w:rsidRDefault="000B647C" w:rsidP="000B647C">
      <w:r w:rsidRPr="000B647C">
        <w:t>а</w:t>
      </w:r>
      <w:r w:rsidRPr="000B647C">
        <w:rPr>
          <w:vertAlign w:val="subscript"/>
        </w:rPr>
        <w:t xml:space="preserve"> </w:t>
      </w:r>
      <w:r w:rsidRPr="000B647C">
        <w:t>= 1</w:t>
      </w:r>
      <w:r w:rsidR="00AD5026">
        <w:t>0</w:t>
      </w:r>
      <w:r w:rsidRPr="000B647C">
        <w:t xml:space="preserve"> мм, </w:t>
      </w:r>
      <w:r w:rsidRPr="000B647C">
        <w:rPr>
          <w:lang w:val="en-US"/>
        </w:rPr>
        <w:t>b</w:t>
      </w:r>
      <w:r w:rsidRPr="000B647C">
        <w:t xml:space="preserve"> = 39 </w:t>
      </w:r>
      <w:r w:rsidR="00AD5026" w:rsidRPr="000B647C">
        <w:t>мм</w:t>
      </w:r>
      <w:r w:rsidRPr="000B647C">
        <w:t>.</w:t>
      </w:r>
    </w:p>
    <w:p w14:paraId="3E391C85" w14:textId="56D297D3" w:rsidR="000B647C" w:rsidRPr="000B647C" w:rsidRDefault="000B647C" w:rsidP="000B647C">
      <w:r w:rsidRPr="000B647C">
        <w:rPr>
          <w:lang w:val="en-US"/>
        </w:rPr>
        <w:t>S</w:t>
      </w:r>
      <w:r w:rsidRPr="000B647C">
        <w:rPr>
          <w:vertAlign w:val="subscript"/>
        </w:rPr>
        <w:t xml:space="preserve"> </w:t>
      </w:r>
      <w:r w:rsidRPr="000B647C">
        <w:t xml:space="preserve">= </w:t>
      </w:r>
      <w:r w:rsidR="00AD5026">
        <w:t>390</w:t>
      </w:r>
      <w:r w:rsidRPr="000B647C">
        <w:t xml:space="preserve"> мм.</w:t>
      </w:r>
    </w:p>
    <w:p w14:paraId="7F7942DE" w14:textId="77777777" w:rsidR="00426A4F" w:rsidRDefault="00426A4F" w:rsidP="00426A4F"/>
    <w:p w14:paraId="4E11BDE7" w14:textId="026889C0" w:rsidR="00426A4F" w:rsidRPr="000B647C" w:rsidRDefault="00426A4F" w:rsidP="00426A4F">
      <w:r w:rsidRPr="000B647C">
        <w:t>Значения скорости окисления были получены с использованием следующего выражения:</w:t>
      </w:r>
    </w:p>
    <w:p w14:paraId="19AF32F8" w14:textId="77777777" w:rsidR="00426A4F" w:rsidRPr="00426A4F" w:rsidRDefault="00426A4F" w:rsidP="00426A4F">
      <w:pPr>
        <w:rPr>
          <w:lang w:val="en-US"/>
        </w:rPr>
      </w:pPr>
      <m:oMathPara>
        <m:oMath>
          <m:r>
            <w:rPr>
              <w:rFonts w:ascii="Cambria Math" w:hAnsi="Cambria Math"/>
              <w:lang w:val="en-US"/>
            </w:rPr>
            <m:t>v</m:t>
          </m:r>
          <m:r>
            <w:rPr>
              <w:rFonts w:ascii="Cambria Math" w:hAnsi="Cambria Math"/>
            </w:rPr>
            <m:t>=</m:t>
          </m:r>
          <m:f>
            <m:fPr>
              <m:ctrlPr>
                <w:rPr>
                  <w:rFonts w:ascii="Cambria Math" w:hAnsi="Cambria Math"/>
                  <w:i/>
                </w:rPr>
              </m:ctrlPr>
            </m:fPr>
            <m:num>
              <m:r>
                <w:rPr>
                  <w:rFonts w:ascii="Cambria Math" w:hAnsi="Cambria Math"/>
                </w:rPr>
                <m:t>∆</m:t>
              </m:r>
              <m:r>
                <w:rPr>
                  <w:rFonts w:ascii="Cambria Math" w:hAnsi="Cambria Math"/>
                  <w:lang w:val="en-US"/>
                </w:rPr>
                <m:t>m</m:t>
              </m:r>
            </m:num>
            <m:den>
              <m:r>
                <w:rPr>
                  <w:rFonts w:ascii="Cambria Math" w:hAnsi="Cambria Math"/>
                </w:rPr>
                <m:t>S∆τ</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n</m:t>
                  </m:r>
                </m:sub>
              </m:sSub>
            </m:num>
            <m:den>
              <m:r>
                <w:rPr>
                  <w:rFonts w:ascii="Cambria Math" w:hAnsi="Cambria Math"/>
                </w:rPr>
                <m:t>S(</m:t>
              </m:r>
              <m:sSub>
                <m:sSubPr>
                  <m:ctrlPr>
                    <w:rPr>
                      <w:rFonts w:ascii="Cambria Math" w:hAnsi="Cambria Math"/>
                      <w:i/>
                    </w:rPr>
                  </m:ctrlPr>
                </m:sSubPr>
                <m:e>
                  <m:r>
                    <w:rPr>
                      <w:rFonts w:ascii="Cambria Math" w:hAnsi="Cambria Math"/>
                    </w:rPr>
                    <m:t>τ</m:t>
                  </m:r>
                </m:e>
                <m:sub>
                  <m:r>
                    <w:rPr>
                      <w:rFonts w:ascii="Cambria Math" w:hAnsi="Cambria Math"/>
                    </w:rPr>
                    <m:t>n+1</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r>
                <w:rPr>
                  <w:rFonts w:ascii="Cambria Math" w:hAnsi="Cambria Math"/>
                </w:rPr>
                <m:t>)</m:t>
              </m:r>
            </m:den>
          </m:f>
          <m:r>
            <w:rPr>
              <w:rFonts w:ascii="Cambria Math" w:hAnsi="Cambria Math"/>
            </w:rPr>
            <m:t>.</m:t>
          </m:r>
        </m:oMath>
      </m:oMathPara>
    </w:p>
    <w:p w14:paraId="3007DEBA" w14:textId="714304B8" w:rsidR="00FD633E" w:rsidRDefault="00426A4F" w:rsidP="00426A4F">
      <w:pPr>
        <w:spacing w:after="160" w:line="259" w:lineRule="auto"/>
      </w:pPr>
      <w:r>
        <w:t xml:space="preserve"> </w:t>
      </w:r>
      <w:r w:rsidR="00FD633E">
        <w:br w:type="page"/>
      </w:r>
    </w:p>
    <w:p w14:paraId="3D25F764" w14:textId="5C3577FF" w:rsidR="000B647C" w:rsidRPr="00426A4F" w:rsidRDefault="00FD633E" w:rsidP="000B647C">
      <w:pPr>
        <w:rPr>
          <w:lang w:val="en-US"/>
        </w:rPr>
      </w:pPr>
      <w:r>
        <w:lastRenderedPageBreak/>
        <w:t>Таблица 1. Экспериментальные данные</w:t>
      </w:r>
    </w:p>
    <w:bookmarkStart w:id="0" w:name="_MON_1509189083"/>
    <w:bookmarkEnd w:id="0"/>
    <w:p w14:paraId="22F3483D" w14:textId="4821A57F" w:rsidR="00FD633E" w:rsidRDefault="00CE4CDD" w:rsidP="000B647C">
      <w:r>
        <w:object w:dxaOrig="6485" w:dyaOrig="6434" w14:anchorId="53808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35.75pt;height:321.9pt" o:ole="">
            <v:imagedata r:id="rId8" o:title=""/>
          </v:shape>
          <o:OLEObject Type="Embed" ProgID="Excel.Sheet.12" ShapeID="_x0000_i1075" DrawAspect="Content" ObjectID="_1509200209" r:id="rId9"/>
        </w:object>
      </w:r>
    </w:p>
    <w:p w14:paraId="78883B16" w14:textId="4E6AEA7C" w:rsidR="00FD633E" w:rsidRDefault="00835A56" w:rsidP="000B647C">
      <w:r>
        <w:t>График 1. Изменение массы образца от времени</w:t>
      </w:r>
    </w:p>
    <w:p w14:paraId="76B264E5" w14:textId="6F6E0608" w:rsidR="00835A56" w:rsidRPr="000B647C" w:rsidRDefault="00835A56" w:rsidP="000B647C">
      <w:r>
        <w:rPr>
          <w:noProof/>
        </w:rPr>
        <w:drawing>
          <wp:inline distT="0" distB="0" distL="0" distR="0" wp14:anchorId="6AEA508C" wp14:editId="2EA62B6D">
            <wp:extent cx="6315389" cy="3683977"/>
            <wp:effectExtent l="0" t="0" r="9525" b="1206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D6DF1D" w14:textId="77777777" w:rsidR="006F4F0C" w:rsidRDefault="006F4F0C" w:rsidP="000B647C"/>
    <w:p w14:paraId="65F3280B" w14:textId="77777777" w:rsidR="00426A4F" w:rsidRDefault="00426A4F">
      <w:pPr>
        <w:spacing w:after="160" w:line="259" w:lineRule="auto"/>
      </w:pPr>
      <w:r>
        <w:br w:type="page"/>
      </w:r>
    </w:p>
    <w:p w14:paraId="70CB75BA" w14:textId="68770748" w:rsidR="00426A4F" w:rsidRDefault="00426A4F" w:rsidP="000B647C">
      <w:r>
        <w:lastRenderedPageBreak/>
        <w:t>График 2. Скорость окисления образца</w:t>
      </w:r>
    </w:p>
    <w:p w14:paraId="395F3A9C" w14:textId="5159A2FC" w:rsidR="00426A4F" w:rsidRPr="00426A4F" w:rsidRDefault="00CE4CDD" w:rsidP="000B647C">
      <w:r>
        <w:rPr>
          <w:noProof/>
        </w:rPr>
        <w:drawing>
          <wp:inline distT="0" distB="0" distL="0" distR="0" wp14:anchorId="76CE7FA0" wp14:editId="27F0530E">
            <wp:extent cx="6330463" cy="3692770"/>
            <wp:effectExtent l="0" t="0" r="13335" b="317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5E1FD1" w14:textId="7A7B8C8A" w:rsidR="000B647C" w:rsidRPr="000B647C" w:rsidRDefault="000B647C" w:rsidP="000B647C">
      <w:r w:rsidRPr="000B647C">
        <w:t>Вывод</w:t>
      </w:r>
    </w:p>
    <w:p w14:paraId="64F79EDE" w14:textId="60A1B79A" w:rsidR="000B647C" w:rsidRPr="000B647C" w:rsidRDefault="000B647C" w:rsidP="000B647C">
      <w:r w:rsidRPr="000B647C">
        <w:t xml:space="preserve">По результатам работы построены зависимости </w:t>
      </w:r>
      <m:oMath>
        <m:r>
          <w:rPr>
            <w:rFonts w:ascii="Cambria Math" w:hAnsi="Cambria Math"/>
          </w:rPr>
          <m:t>∆</m:t>
        </m:r>
        <m:r>
          <w:rPr>
            <w:rFonts w:ascii="Cambria Math" w:hAnsi="Cambria Math"/>
            <w:lang w:val="en-US"/>
          </w:rPr>
          <m:t>m</m:t>
        </m:r>
        <m:r>
          <w:rPr>
            <w:rFonts w:ascii="Cambria Math" w:hAnsi="Cambria Math"/>
          </w:rPr>
          <m:t>=</m:t>
        </m:r>
        <m:r>
          <w:rPr>
            <w:rFonts w:ascii="Cambria Math" w:hAnsi="Cambria Math"/>
            <w:lang w:val="en-US"/>
          </w:rPr>
          <m:t>f</m:t>
        </m:r>
        <m:r>
          <w:rPr>
            <w:rFonts w:ascii="Cambria Math" w:hAnsi="Cambria Math"/>
          </w:rPr>
          <m:t>(τ)</m:t>
        </m:r>
      </m:oMath>
      <w:r w:rsidRPr="000B647C">
        <w:t xml:space="preserve"> и </w:t>
      </w:r>
      <m:oMath>
        <m:r>
          <w:rPr>
            <w:rFonts w:ascii="Cambria Math" w:hAnsi="Cambria Math"/>
            <w:lang w:val="en-US"/>
          </w:rPr>
          <m:t>v</m:t>
        </m:r>
        <m:r>
          <w:rPr>
            <w:rFonts w:ascii="Cambria Math" w:hAnsi="Cambria Math"/>
          </w:rPr>
          <m:t>=</m:t>
        </m:r>
        <m:r>
          <w:rPr>
            <w:rFonts w:ascii="Cambria Math" w:hAnsi="Cambria Math"/>
            <w:lang w:val="en-US"/>
          </w:rPr>
          <m:t>f</m:t>
        </m:r>
        <m:r>
          <w:rPr>
            <w:rFonts w:ascii="Cambria Math" w:hAnsi="Cambria Math"/>
          </w:rPr>
          <m:t>(</m:t>
        </m:r>
        <m:r>
          <w:rPr>
            <w:rFonts w:ascii="Cambria Math" w:hAnsi="Cambria Math"/>
            <w:lang w:val="en-US"/>
          </w:rPr>
          <m:t>τ</m:t>
        </m:r>
        <m:r>
          <w:rPr>
            <w:rFonts w:ascii="Cambria Math" w:hAnsi="Cambria Math"/>
          </w:rPr>
          <m:t>)</m:t>
        </m:r>
      </m:oMath>
      <w:r w:rsidRPr="000B647C">
        <w:t xml:space="preserve">. По виду </w:t>
      </w:r>
      <w:r w:rsidR="00A615E5">
        <w:t xml:space="preserve">полученных </w:t>
      </w:r>
      <w:r w:rsidRPr="000B647C">
        <w:t>графиков можно определить</w:t>
      </w:r>
      <w:r w:rsidR="00A615E5">
        <w:t>,</w:t>
      </w:r>
      <w:r w:rsidRPr="000B647C">
        <w:t xml:space="preserve"> </w:t>
      </w:r>
      <w:r w:rsidR="00A615E5">
        <w:t>что</w:t>
      </w:r>
      <w:r w:rsidRPr="000B647C">
        <w:t xml:space="preserve"> лимитирующей стади</w:t>
      </w:r>
      <w:r w:rsidR="00A615E5">
        <w:t>ей процесса является</w:t>
      </w:r>
      <w:r w:rsidRPr="000B647C">
        <w:t xml:space="preserve"> диффузи</w:t>
      </w:r>
      <w:r w:rsidR="00A615E5">
        <w:t>я</w:t>
      </w:r>
      <w:r w:rsidRPr="000B647C">
        <w:t>, то есть скорость лимитируется массопереносом кислорода в слое окалины.</w:t>
      </w:r>
    </w:p>
    <w:p w14:paraId="2E0A8698" w14:textId="77777777" w:rsidR="000B647C" w:rsidRDefault="000B647C" w:rsidP="000B647C">
      <w:bookmarkStart w:id="1" w:name="_GoBack"/>
      <w:bookmarkEnd w:id="1"/>
    </w:p>
    <w:sectPr w:rsidR="000B647C" w:rsidSect="00971844">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3452"/>
    <w:multiLevelType w:val="hybridMultilevel"/>
    <w:tmpl w:val="A9B4F286"/>
    <w:lvl w:ilvl="0" w:tplc="B8C636B8">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5DE2927"/>
    <w:multiLevelType w:val="hybridMultilevel"/>
    <w:tmpl w:val="557C0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F13E90"/>
    <w:multiLevelType w:val="hybridMultilevel"/>
    <w:tmpl w:val="B2064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06521E"/>
    <w:multiLevelType w:val="hybridMultilevel"/>
    <w:tmpl w:val="13D06638"/>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2F9D6493"/>
    <w:multiLevelType w:val="hybridMultilevel"/>
    <w:tmpl w:val="50EE1100"/>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F8B0780"/>
    <w:multiLevelType w:val="hybridMultilevel"/>
    <w:tmpl w:val="13D06638"/>
    <w:lvl w:ilvl="0" w:tplc="817CE8E4">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4AA7C56"/>
    <w:multiLevelType w:val="hybridMultilevel"/>
    <w:tmpl w:val="83B65CE4"/>
    <w:lvl w:ilvl="0" w:tplc="FC8ABF5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A2471A"/>
    <w:multiLevelType w:val="hybridMultilevel"/>
    <w:tmpl w:val="67523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0C"/>
    <w:rsid w:val="00012CB3"/>
    <w:rsid w:val="00013DD2"/>
    <w:rsid w:val="0003237A"/>
    <w:rsid w:val="000352CB"/>
    <w:rsid w:val="000400A0"/>
    <w:rsid w:val="000476C2"/>
    <w:rsid w:val="0006462B"/>
    <w:rsid w:val="00065A45"/>
    <w:rsid w:val="00085E91"/>
    <w:rsid w:val="000B647C"/>
    <w:rsid w:val="000F32DD"/>
    <w:rsid w:val="001A3658"/>
    <w:rsid w:val="001B600C"/>
    <w:rsid w:val="001F0E78"/>
    <w:rsid w:val="00234B30"/>
    <w:rsid w:val="00281CAB"/>
    <w:rsid w:val="002A5AB5"/>
    <w:rsid w:val="00380DCC"/>
    <w:rsid w:val="003C0764"/>
    <w:rsid w:val="00426A4F"/>
    <w:rsid w:val="00437FBE"/>
    <w:rsid w:val="0046742D"/>
    <w:rsid w:val="004B6F5F"/>
    <w:rsid w:val="004C222B"/>
    <w:rsid w:val="004E14CF"/>
    <w:rsid w:val="004E6FCB"/>
    <w:rsid w:val="004F6D72"/>
    <w:rsid w:val="005345BB"/>
    <w:rsid w:val="00581815"/>
    <w:rsid w:val="006020AC"/>
    <w:rsid w:val="00633CFC"/>
    <w:rsid w:val="00665C39"/>
    <w:rsid w:val="00674DDA"/>
    <w:rsid w:val="006B3295"/>
    <w:rsid w:val="006C415E"/>
    <w:rsid w:val="006C5F5D"/>
    <w:rsid w:val="006F4F0C"/>
    <w:rsid w:val="007460B1"/>
    <w:rsid w:val="00773D58"/>
    <w:rsid w:val="00797B91"/>
    <w:rsid w:val="007A4AB0"/>
    <w:rsid w:val="007B359A"/>
    <w:rsid w:val="007C5629"/>
    <w:rsid w:val="00817354"/>
    <w:rsid w:val="008332DB"/>
    <w:rsid w:val="00835A56"/>
    <w:rsid w:val="00896083"/>
    <w:rsid w:val="008A5B0C"/>
    <w:rsid w:val="008B6BF5"/>
    <w:rsid w:val="008D5E00"/>
    <w:rsid w:val="00932AC2"/>
    <w:rsid w:val="00964BA5"/>
    <w:rsid w:val="00971844"/>
    <w:rsid w:val="009B2DD9"/>
    <w:rsid w:val="009D0E3B"/>
    <w:rsid w:val="00A0160C"/>
    <w:rsid w:val="00A24068"/>
    <w:rsid w:val="00A25929"/>
    <w:rsid w:val="00A51CB8"/>
    <w:rsid w:val="00A615E5"/>
    <w:rsid w:val="00A75EF3"/>
    <w:rsid w:val="00AB7E4C"/>
    <w:rsid w:val="00AD5026"/>
    <w:rsid w:val="00B101B8"/>
    <w:rsid w:val="00BA0A8F"/>
    <w:rsid w:val="00BA56D6"/>
    <w:rsid w:val="00BC623A"/>
    <w:rsid w:val="00BF1358"/>
    <w:rsid w:val="00C5207E"/>
    <w:rsid w:val="00C65399"/>
    <w:rsid w:val="00C74D91"/>
    <w:rsid w:val="00CC491D"/>
    <w:rsid w:val="00CE4CDD"/>
    <w:rsid w:val="00D100A2"/>
    <w:rsid w:val="00D64179"/>
    <w:rsid w:val="00DD2E2E"/>
    <w:rsid w:val="00DD7380"/>
    <w:rsid w:val="00DF4E6A"/>
    <w:rsid w:val="00DF54D8"/>
    <w:rsid w:val="00E37B75"/>
    <w:rsid w:val="00E5101D"/>
    <w:rsid w:val="00F50DDF"/>
    <w:rsid w:val="00F56E3B"/>
    <w:rsid w:val="00F56E9E"/>
    <w:rsid w:val="00F57ED5"/>
    <w:rsid w:val="00F802AB"/>
    <w:rsid w:val="00F9014A"/>
    <w:rsid w:val="00FD0765"/>
    <w:rsid w:val="00FD6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FA5EFC"/>
  <w15:chartTrackingRefBased/>
  <w15:docId w15:val="{0E1F53DB-296B-412E-A04F-E19F81B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E3B"/>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6462B"/>
    <w:pPr>
      <w:jc w:val="both"/>
    </w:pPr>
    <w:rPr>
      <w:b/>
      <w:szCs w:val="20"/>
    </w:rPr>
  </w:style>
  <w:style w:type="character" w:customStyle="1" w:styleId="a4">
    <w:name w:val="Основной текст Знак"/>
    <w:basedOn w:val="a0"/>
    <w:link w:val="a3"/>
    <w:uiPriority w:val="99"/>
    <w:rsid w:val="0006462B"/>
    <w:rPr>
      <w:rFonts w:ascii="Times New Roman" w:eastAsia="Times New Roman" w:hAnsi="Times New Roman" w:cs="Times New Roman"/>
      <w:b/>
      <w:sz w:val="28"/>
      <w:szCs w:val="20"/>
      <w:lang w:eastAsia="ru-RU"/>
    </w:rPr>
  </w:style>
  <w:style w:type="paragraph" w:styleId="2">
    <w:name w:val="Body Text Indent 2"/>
    <w:basedOn w:val="a"/>
    <w:link w:val="20"/>
    <w:uiPriority w:val="99"/>
    <w:rsid w:val="0006462B"/>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uiPriority w:val="99"/>
    <w:rsid w:val="0006462B"/>
    <w:rPr>
      <w:rFonts w:ascii="Times New Roman" w:eastAsia="Times New Roman" w:hAnsi="Times New Roman" w:cs="Times New Roman"/>
      <w:sz w:val="20"/>
      <w:szCs w:val="20"/>
      <w:lang w:eastAsia="ru-RU"/>
    </w:rPr>
  </w:style>
  <w:style w:type="character" w:styleId="a5">
    <w:name w:val="Placeholder Text"/>
    <w:basedOn w:val="a0"/>
    <w:uiPriority w:val="99"/>
    <w:semiHidden/>
    <w:rsid w:val="00C74D91"/>
    <w:rPr>
      <w:color w:val="808080"/>
    </w:rPr>
  </w:style>
  <w:style w:type="table" w:styleId="a6">
    <w:name w:val="Table Grid"/>
    <w:basedOn w:val="a1"/>
    <w:uiPriority w:val="39"/>
    <w:rsid w:val="0006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96083"/>
    <w:pPr>
      <w:ind w:left="720"/>
      <w:contextualSpacing/>
    </w:pPr>
  </w:style>
  <w:style w:type="paragraph" w:styleId="a8">
    <w:name w:val="Balloon Text"/>
    <w:basedOn w:val="a"/>
    <w:link w:val="a9"/>
    <w:uiPriority w:val="99"/>
    <w:semiHidden/>
    <w:unhideWhenUsed/>
    <w:rsid w:val="00674DDA"/>
    <w:rPr>
      <w:rFonts w:ascii="Segoe UI" w:hAnsi="Segoe UI" w:cs="Segoe UI"/>
      <w:sz w:val="18"/>
      <w:szCs w:val="18"/>
    </w:rPr>
  </w:style>
  <w:style w:type="character" w:customStyle="1" w:styleId="a9">
    <w:name w:val="Текст выноски Знак"/>
    <w:basedOn w:val="a0"/>
    <w:link w:val="a8"/>
    <w:uiPriority w:val="99"/>
    <w:semiHidden/>
    <w:rsid w:val="00674D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224">
      <w:bodyDiv w:val="1"/>
      <w:marLeft w:val="0"/>
      <w:marRight w:val="0"/>
      <w:marTop w:val="0"/>
      <w:marBottom w:val="0"/>
      <w:divBdr>
        <w:top w:val="none" w:sz="0" w:space="0" w:color="auto"/>
        <w:left w:val="none" w:sz="0" w:space="0" w:color="auto"/>
        <w:bottom w:val="none" w:sz="0" w:space="0" w:color="auto"/>
        <w:right w:val="none" w:sz="0" w:space="0" w:color="auto"/>
      </w:divBdr>
    </w:div>
    <w:div w:id="313265231">
      <w:bodyDiv w:val="1"/>
      <w:marLeft w:val="0"/>
      <w:marRight w:val="0"/>
      <w:marTop w:val="0"/>
      <w:marBottom w:val="0"/>
      <w:divBdr>
        <w:top w:val="none" w:sz="0" w:space="0" w:color="auto"/>
        <w:left w:val="none" w:sz="0" w:space="0" w:color="auto"/>
        <w:bottom w:val="none" w:sz="0" w:space="0" w:color="auto"/>
        <w:right w:val="none" w:sz="0" w:space="0" w:color="auto"/>
      </w:divBdr>
    </w:div>
    <w:div w:id="432744640">
      <w:bodyDiv w:val="1"/>
      <w:marLeft w:val="0"/>
      <w:marRight w:val="0"/>
      <w:marTop w:val="0"/>
      <w:marBottom w:val="0"/>
      <w:divBdr>
        <w:top w:val="none" w:sz="0" w:space="0" w:color="auto"/>
        <w:left w:val="none" w:sz="0" w:space="0" w:color="auto"/>
        <w:bottom w:val="none" w:sz="0" w:space="0" w:color="auto"/>
        <w:right w:val="none" w:sz="0" w:space="0" w:color="auto"/>
      </w:divBdr>
    </w:div>
    <w:div w:id="498008416">
      <w:bodyDiv w:val="1"/>
      <w:marLeft w:val="0"/>
      <w:marRight w:val="0"/>
      <w:marTop w:val="0"/>
      <w:marBottom w:val="0"/>
      <w:divBdr>
        <w:top w:val="none" w:sz="0" w:space="0" w:color="auto"/>
        <w:left w:val="none" w:sz="0" w:space="0" w:color="auto"/>
        <w:bottom w:val="none" w:sz="0" w:space="0" w:color="auto"/>
        <w:right w:val="none" w:sz="0" w:space="0" w:color="auto"/>
      </w:divBdr>
    </w:div>
    <w:div w:id="517542309">
      <w:bodyDiv w:val="1"/>
      <w:marLeft w:val="0"/>
      <w:marRight w:val="0"/>
      <w:marTop w:val="0"/>
      <w:marBottom w:val="0"/>
      <w:divBdr>
        <w:top w:val="none" w:sz="0" w:space="0" w:color="auto"/>
        <w:left w:val="none" w:sz="0" w:space="0" w:color="auto"/>
        <w:bottom w:val="none" w:sz="0" w:space="0" w:color="auto"/>
        <w:right w:val="none" w:sz="0" w:space="0" w:color="auto"/>
      </w:divBdr>
    </w:div>
    <w:div w:id="780882636">
      <w:bodyDiv w:val="1"/>
      <w:marLeft w:val="0"/>
      <w:marRight w:val="0"/>
      <w:marTop w:val="0"/>
      <w:marBottom w:val="0"/>
      <w:divBdr>
        <w:top w:val="none" w:sz="0" w:space="0" w:color="auto"/>
        <w:left w:val="none" w:sz="0" w:space="0" w:color="auto"/>
        <w:bottom w:val="none" w:sz="0" w:space="0" w:color="auto"/>
        <w:right w:val="none" w:sz="0" w:space="0" w:color="auto"/>
      </w:divBdr>
    </w:div>
    <w:div w:id="786310357">
      <w:bodyDiv w:val="1"/>
      <w:marLeft w:val="0"/>
      <w:marRight w:val="0"/>
      <w:marTop w:val="0"/>
      <w:marBottom w:val="0"/>
      <w:divBdr>
        <w:top w:val="none" w:sz="0" w:space="0" w:color="auto"/>
        <w:left w:val="none" w:sz="0" w:space="0" w:color="auto"/>
        <w:bottom w:val="none" w:sz="0" w:space="0" w:color="auto"/>
        <w:right w:val="none" w:sz="0" w:space="0" w:color="auto"/>
      </w:divBdr>
    </w:div>
    <w:div w:id="949363098">
      <w:bodyDiv w:val="1"/>
      <w:marLeft w:val="0"/>
      <w:marRight w:val="0"/>
      <w:marTop w:val="0"/>
      <w:marBottom w:val="0"/>
      <w:divBdr>
        <w:top w:val="none" w:sz="0" w:space="0" w:color="auto"/>
        <w:left w:val="none" w:sz="0" w:space="0" w:color="auto"/>
        <w:bottom w:val="none" w:sz="0" w:space="0" w:color="auto"/>
        <w:right w:val="none" w:sz="0" w:space="0" w:color="auto"/>
      </w:divBdr>
    </w:div>
    <w:div w:id="1096487702">
      <w:bodyDiv w:val="1"/>
      <w:marLeft w:val="0"/>
      <w:marRight w:val="0"/>
      <w:marTop w:val="0"/>
      <w:marBottom w:val="0"/>
      <w:divBdr>
        <w:top w:val="none" w:sz="0" w:space="0" w:color="auto"/>
        <w:left w:val="none" w:sz="0" w:space="0" w:color="auto"/>
        <w:bottom w:val="none" w:sz="0" w:space="0" w:color="auto"/>
        <w:right w:val="none" w:sz="0" w:space="0" w:color="auto"/>
      </w:divBdr>
    </w:div>
    <w:div w:id="1117724228">
      <w:bodyDiv w:val="1"/>
      <w:marLeft w:val="0"/>
      <w:marRight w:val="0"/>
      <w:marTop w:val="0"/>
      <w:marBottom w:val="0"/>
      <w:divBdr>
        <w:top w:val="none" w:sz="0" w:space="0" w:color="auto"/>
        <w:left w:val="none" w:sz="0" w:space="0" w:color="auto"/>
        <w:bottom w:val="none" w:sz="0" w:space="0" w:color="auto"/>
        <w:right w:val="none" w:sz="0" w:space="0" w:color="auto"/>
      </w:divBdr>
    </w:div>
    <w:div w:id="1167405315">
      <w:bodyDiv w:val="1"/>
      <w:marLeft w:val="0"/>
      <w:marRight w:val="0"/>
      <w:marTop w:val="0"/>
      <w:marBottom w:val="0"/>
      <w:divBdr>
        <w:top w:val="none" w:sz="0" w:space="0" w:color="auto"/>
        <w:left w:val="none" w:sz="0" w:space="0" w:color="auto"/>
        <w:bottom w:val="none" w:sz="0" w:space="0" w:color="auto"/>
        <w:right w:val="none" w:sz="0" w:space="0" w:color="auto"/>
      </w:divBdr>
    </w:div>
    <w:div w:id="1244488206">
      <w:bodyDiv w:val="1"/>
      <w:marLeft w:val="0"/>
      <w:marRight w:val="0"/>
      <w:marTop w:val="0"/>
      <w:marBottom w:val="0"/>
      <w:divBdr>
        <w:top w:val="none" w:sz="0" w:space="0" w:color="auto"/>
        <w:left w:val="none" w:sz="0" w:space="0" w:color="auto"/>
        <w:bottom w:val="none" w:sz="0" w:space="0" w:color="auto"/>
        <w:right w:val="none" w:sz="0" w:space="0" w:color="auto"/>
      </w:divBdr>
    </w:div>
    <w:div w:id="1418097349">
      <w:bodyDiv w:val="1"/>
      <w:marLeft w:val="0"/>
      <w:marRight w:val="0"/>
      <w:marTop w:val="0"/>
      <w:marBottom w:val="0"/>
      <w:divBdr>
        <w:top w:val="none" w:sz="0" w:space="0" w:color="auto"/>
        <w:left w:val="none" w:sz="0" w:space="0" w:color="auto"/>
        <w:bottom w:val="none" w:sz="0" w:space="0" w:color="auto"/>
        <w:right w:val="none" w:sz="0" w:space="0" w:color="auto"/>
      </w:divBdr>
    </w:div>
    <w:div w:id="1621448326">
      <w:bodyDiv w:val="1"/>
      <w:marLeft w:val="0"/>
      <w:marRight w:val="0"/>
      <w:marTop w:val="0"/>
      <w:marBottom w:val="0"/>
      <w:divBdr>
        <w:top w:val="none" w:sz="0" w:space="0" w:color="auto"/>
        <w:left w:val="none" w:sz="0" w:space="0" w:color="auto"/>
        <w:bottom w:val="none" w:sz="0" w:space="0" w:color="auto"/>
        <w:right w:val="none" w:sz="0" w:space="0" w:color="auto"/>
      </w:divBdr>
    </w:div>
    <w:div w:id="1632712222">
      <w:bodyDiv w:val="1"/>
      <w:marLeft w:val="0"/>
      <w:marRight w:val="0"/>
      <w:marTop w:val="0"/>
      <w:marBottom w:val="0"/>
      <w:divBdr>
        <w:top w:val="none" w:sz="0" w:space="0" w:color="auto"/>
        <w:left w:val="none" w:sz="0" w:space="0" w:color="auto"/>
        <w:bottom w:val="none" w:sz="0" w:space="0" w:color="auto"/>
        <w:right w:val="none" w:sz="0" w:space="0" w:color="auto"/>
      </w:divBdr>
    </w:div>
    <w:div w:id="2008898521">
      <w:bodyDiv w:val="1"/>
      <w:marLeft w:val="0"/>
      <w:marRight w:val="0"/>
      <w:marTop w:val="0"/>
      <w:marBottom w:val="0"/>
      <w:divBdr>
        <w:top w:val="none" w:sz="0" w:space="0" w:color="auto"/>
        <w:left w:val="none" w:sz="0" w:space="0" w:color="auto"/>
        <w:bottom w:val="none" w:sz="0" w:space="0" w:color="auto"/>
        <w:right w:val="none" w:sz="0" w:space="0" w:color="auto"/>
      </w:divBdr>
    </w:div>
    <w:div w:id="211296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tif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package" Target="embeddings/_____Microsoft_Excel.xlsx"/></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вес</c:v>
                </c:pt>
              </c:strCache>
            </c:strRef>
          </c:tx>
          <c:spPr>
            <a:ln w="28575" cap="rnd">
              <a:solidFill>
                <a:schemeClr val="accent1"/>
              </a:solidFill>
              <a:round/>
            </a:ln>
            <a:effectLst/>
          </c:spPr>
          <c:marker>
            <c:symbol val="none"/>
          </c:marker>
          <c:trendline>
            <c:spPr>
              <a:ln w="22225" cap="rnd">
                <a:solidFill>
                  <a:schemeClr val="tx1"/>
                </a:solidFill>
                <a:prstDash val="sysDash"/>
                <a:round/>
              </a:ln>
              <a:effectLst/>
            </c:spPr>
            <c:trendlineType val="power"/>
            <c:dispRSqr val="0"/>
            <c:dispEq val="0"/>
          </c:trendline>
          <c:cat>
            <c:numRef>
              <c:f>Лист1!$A$2:$A$41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Лист1!$B$2:$B$41</c:f>
              <c:numCache>
                <c:formatCode>General</c:formatCode>
                <c:ptCount val="40"/>
                <c:pt idx="0">
                  <c:v>6.7999999999999996E-3</c:v>
                </c:pt>
                <c:pt idx="1">
                  <c:v>9.2999999999999992E-3</c:v>
                </c:pt>
                <c:pt idx="2">
                  <c:v>1.32E-2</c:v>
                </c:pt>
                <c:pt idx="3">
                  <c:v>1.6299999999999999E-2</c:v>
                </c:pt>
                <c:pt idx="4">
                  <c:v>1.9400000000000001E-2</c:v>
                </c:pt>
                <c:pt idx="5">
                  <c:v>2.1399999999999999E-2</c:v>
                </c:pt>
                <c:pt idx="6">
                  <c:v>2.3599999999999999E-2</c:v>
                </c:pt>
                <c:pt idx="7">
                  <c:v>2.7099999999999999E-2</c:v>
                </c:pt>
                <c:pt idx="8">
                  <c:v>0.03</c:v>
                </c:pt>
                <c:pt idx="9">
                  <c:v>3.0800000000000001E-2</c:v>
                </c:pt>
                <c:pt idx="10">
                  <c:v>3.2300000000000002E-2</c:v>
                </c:pt>
                <c:pt idx="11">
                  <c:v>3.4799999999999998E-2</c:v>
                </c:pt>
                <c:pt idx="12">
                  <c:v>3.78E-2</c:v>
                </c:pt>
                <c:pt idx="13">
                  <c:v>3.8100000000000002E-2</c:v>
                </c:pt>
                <c:pt idx="14">
                  <c:v>0.04</c:v>
                </c:pt>
                <c:pt idx="15">
                  <c:v>4.3099999999999999E-2</c:v>
                </c:pt>
                <c:pt idx="16">
                  <c:v>4.2799999999999998E-2</c:v>
                </c:pt>
                <c:pt idx="17">
                  <c:v>4.5499999999999999E-2</c:v>
                </c:pt>
                <c:pt idx="18">
                  <c:v>4.7500000000000001E-2</c:v>
                </c:pt>
                <c:pt idx="19">
                  <c:v>5.1200000000000002E-2</c:v>
                </c:pt>
                <c:pt idx="20">
                  <c:v>4.87E-2</c:v>
                </c:pt>
                <c:pt idx="21">
                  <c:v>5.16E-2</c:v>
                </c:pt>
                <c:pt idx="22">
                  <c:v>5.45E-2</c:v>
                </c:pt>
                <c:pt idx="23">
                  <c:v>5.5399999999999998E-2</c:v>
                </c:pt>
                <c:pt idx="24">
                  <c:v>5.4600000000000003E-2</c:v>
                </c:pt>
                <c:pt idx="25">
                  <c:v>5.7000000000000002E-2</c:v>
                </c:pt>
                <c:pt idx="26">
                  <c:v>5.7799999999999997E-2</c:v>
                </c:pt>
                <c:pt idx="27">
                  <c:v>5.9400000000000001E-2</c:v>
                </c:pt>
                <c:pt idx="28">
                  <c:v>6.0299999999999999E-2</c:v>
                </c:pt>
                <c:pt idx="29">
                  <c:v>6.54E-2</c:v>
                </c:pt>
                <c:pt idx="30">
                  <c:v>6.3200000000000006E-2</c:v>
                </c:pt>
                <c:pt idx="31">
                  <c:v>6.2700000000000006E-2</c:v>
                </c:pt>
                <c:pt idx="32">
                  <c:v>6.5000000000000002E-2</c:v>
                </c:pt>
                <c:pt idx="33">
                  <c:v>6.6500000000000004E-2</c:v>
                </c:pt>
                <c:pt idx="34">
                  <c:v>6.7199999999999996E-2</c:v>
                </c:pt>
                <c:pt idx="35">
                  <c:v>6.9500000000000006E-2</c:v>
                </c:pt>
                <c:pt idx="36">
                  <c:v>7.0300000000000001E-2</c:v>
                </c:pt>
                <c:pt idx="37">
                  <c:v>7.1900000000000006E-2</c:v>
                </c:pt>
                <c:pt idx="38">
                  <c:v>7.2099999999999997E-2</c:v>
                </c:pt>
                <c:pt idx="39">
                  <c:v>7.4999999999999997E-2</c:v>
                </c:pt>
              </c:numCache>
            </c:numRef>
          </c:val>
          <c:smooth val="0"/>
          <c:extLst>
            <c:ext xmlns:c16="http://schemas.microsoft.com/office/drawing/2014/chart" uri="{C3380CC4-5D6E-409C-BE32-E72D297353CC}">
              <c16:uniqueId val="{00000000-B861-418A-B0A5-7A107C53E9D5}"/>
            </c:ext>
          </c:extLst>
        </c:ser>
        <c:dLbls>
          <c:showLegendKey val="0"/>
          <c:showVal val="0"/>
          <c:showCatName val="0"/>
          <c:showSerName val="0"/>
          <c:showPercent val="0"/>
          <c:showBubbleSize val="0"/>
        </c:dLbls>
        <c:smooth val="0"/>
        <c:axId val="475348512"/>
        <c:axId val="475343592"/>
      </c:lineChart>
      <c:catAx>
        <c:axId val="47534851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 </a:t>
                </a:r>
                <a:r>
                  <a:rPr lang="ru-RU"/>
                  <a:t>мин</a:t>
                </a:r>
              </a:p>
            </c:rich>
          </c:tx>
          <c:layout>
            <c:manualLayout>
              <c:xMode val="edge"/>
              <c:yMode val="edge"/>
              <c:x val="0.92972260820338637"/>
              <c:y val="0.9131010537146052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5343592"/>
        <c:crosses val="autoZero"/>
        <c:auto val="1"/>
        <c:lblAlgn val="ctr"/>
        <c:lblOffset val="100"/>
        <c:tickLblSkip val="2"/>
        <c:noMultiLvlLbl val="0"/>
      </c:catAx>
      <c:valAx>
        <c:axId val="4753435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 </a:t>
                </a:r>
                <a:r>
                  <a:rPr lang="ru-RU"/>
                  <a:t>г</a:t>
                </a:r>
              </a:p>
            </c:rich>
          </c:tx>
          <c:layout>
            <c:manualLayout>
              <c:xMode val="edge"/>
              <c:yMode val="edge"/>
              <c:x val="1.0055304172951232E-2"/>
              <c:y val="1.2828089645146685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7534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Лист1!$B$1</c:f>
              <c:strCache>
                <c:ptCount val="1"/>
                <c:pt idx="0">
                  <c:v>Ряд 1</c:v>
                </c:pt>
              </c:strCache>
            </c:strRef>
          </c:tx>
          <c:spPr>
            <a:ln w="28575" cap="rnd">
              <a:solidFill>
                <a:schemeClr val="dk1">
                  <a:tint val="88500"/>
                </a:schemeClr>
              </a:solidFill>
              <a:round/>
            </a:ln>
            <a:effectLst/>
          </c:spPr>
          <c:marker>
            <c:symbol val="none"/>
          </c:marker>
          <c:trendline>
            <c:spPr>
              <a:ln w="22225" cap="rnd">
                <a:solidFill>
                  <a:schemeClr val="dk1">
                    <a:tint val="88500"/>
                  </a:schemeClr>
                </a:solidFill>
                <a:prstDash val="sysDot"/>
              </a:ln>
              <a:effectLst/>
            </c:spPr>
            <c:trendlineType val="power"/>
            <c:dispRSqr val="0"/>
            <c:dispEq val="0"/>
          </c:trendline>
          <c:cat>
            <c:numRef>
              <c:f>Лист1!$A$2:$A$41</c:f>
              <c:numCache>
                <c:formatCode>General</c:formatCode>
                <c:ptCount val="4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numCache>
            </c:numRef>
          </c:cat>
          <c:val>
            <c:numRef>
              <c:f>Лист1!$B$2:$B$41</c:f>
              <c:numCache>
                <c:formatCode>General</c:formatCode>
                <c:ptCount val="40"/>
                <c:pt idx="0">
                  <c:v>2.9059829059829054</c:v>
                </c:pt>
                <c:pt idx="1">
                  <c:v>1.987179487179487</c:v>
                </c:pt>
                <c:pt idx="2">
                  <c:v>1.8803418803418805</c:v>
                </c:pt>
                <c:pt idx="3">
                  <c:v>1.7414529914529913</c:v>
                </c:pt>
                <c:pt idx="4">
                  <c:v>1.6581196581196582</c:v>
                </c:pt>
                <c:pt idx="5">
                  <c:v>1.5242165242165242</c:v>
                </c:pt>
                <c:pt idx="6">
                  <c:v>1.4407814407814408</c:v>
                </c:pt>
                <c:pt idx="7">
                  <c:v>1.4476495726495726</c:v>
                </c:pt>
                <c:pt idx="8">
                  <c:v>1.4245014245014245</c:v>
                </c:pt>
                <c:pt idx="9">
                  <c:v>1.3162393162393162</c:v>
                </c:pt>
                <c:pt idx="10">
                  <c:v>1.254856254856255</c:v>
                </c:pt>
                <c:pt idx="11">
                  <c:v>1.2393162393162391</c:v>
                </c:pt>
                <c:pt idx="12">
                  <c:v>1.2426035502958579</c:v>
                </c:pt>
                <c:pt idx="13">
                  <c:v>1.1630036630036631</c:v>
                </c:pt>
                <c:pt idx="14">
                  <c:v>1.1396011396011396</c:v>
                </c:pt>
                <c:pt idx="15">
                  <c:v>1.1511752136752138</c:v>
                </c:pt>
                <c:pt idx="16">
                  <c:v>1.0759175465057818</c:v>
                </c:pt>
                <c:pt idx="17">
                  <c:v>1.0802469135802468</c:v>
                </c:pt>
                <c:pt idx="18">
                  <c:v>1.0683760683760684</c:v>
                </c:pt>
                <c:pt idx="19">
                  <c:v>1.0940170940170941</c:v>
                </c:pt>
                <c:pt idx="20">
                  <c:v>0.99104599104599111</c:v>
                </c:pt>
                <c:pt idx="21">
                  <c:v>1.0023310023310024</c:v>
                </c:pt>
                <c:pt idx="22">
                  <c:v>1.0126347082868823</c:v>
                </c:pt>
                <c:pt idx="23">
                  <c:v>0.98646723646723644</c:v>
                </c:pt>
                <c:pt idx="24">
                  <c:v>0.93333333333333335</c:v>
                </c:pt>
                <c:pt idx="25">
                  <c:v>0.93688362919132151</c:v>
                </c:pt>
                <c:pt idx="26">
                  <c:v>0.91484647040202594</c:v>
                </c:pt>
                <c:pt idx="27">
                  <c:v>0.90659340659340659</c:v>
                </c:pt>
                <c:pt idx="28">
                  <c:v>0.88859416445623352</c:v>
                </c:pt>
                <c:pt idx="29">
                  <c:v>0.93162393162393164</c:v>
                </c:pt>
                <c:pt idx="30">
                  <c:v>0.87124345188861319</c:v>
                </c:pt>
                <c:pt idx="31">
                  <c:v>0.83733974358974361</c:v>
                </c:pt>
                <c:pt idx="32">
                  <c:v>0.84175084175084181</c:v>
                </c:pt>
                <c:pt idx="33">
                  <c:v>0.83584715937657128</c:v>
                </c:pt>
                <c:pt idx="34">
                  <c:v>0.82051282051282048</c:v>
                </c:pt>
                <c:pt idx="35">
                  <c:v>0.82502374169040849</c:v>
                </c:pt>
                <c:pt idx="36">
                  <c:v>0.81196581196581208</c:v>
                </c:pt>
                <c:pt idx="37">
                  <c:v>0.80859199280251914</c:v>
                </c:pt>
                <c:pt idx="38">
                  <c:v>0.79005040543502081</c:v>
                </c:pt>
                <c:pt idx="39">
                  <c:v>0.80128205128205121</c:v>
                </c:pt>
              </c:numCache>
            </c:numRef>
          </c:val>
          <c:smooth val="0"/>
          <c:extLst>
            <c:ext xmlns:c16="http://schemas.microsoft.com/office/drawing/2014/chart" uri="{C3380CC4-5D6E-409C-BE32-E72D297353CC}">
              <c16:uniqueId val="{00000000-01C1-4B2B-A99C-6D615BD85606}"/>
            </c:ext>
          </c:extLst>
        </c:ser>
        <c:dLbls>
          <c:showLegendKey val="0"/>
          <c:showVal val="0"/>
          <c:showCatName val="0"/>
          <c:showSerName val="0"/>
          <c:showPercent val="0"/>
          <c:showBubbleSize val="0"/>
        </c:dLbls>
        <c:smooth val="0"/>
        <c:axId val="573195320"/>
        <c:axId val="573195648"/>
      </c:lineChart>
      <c:catAx>
        <c:axId val="57319532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 </a:t>
                </a:r>
                <a:r>
                  <a:rPr lang="ru-RU"/>
                  <a:t>мин</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3195648"/>
        <c:crosses val="autoZero"/>
        <c:auto val="1"/>
        <c:lblAlgn val="ctr"/>
        <c:lblOffset val="100"/>
        <c:tickLblSkip val="2"/>
        <c:noMultiLvlLbl val="0"/>
      </c:catAx>
      <c:valAx>
        <c:axId val="5731956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 10 </a:t>
                </a:r>
                <a:r>
                  <a:rPr lang="ru-RU"/>
                  <a:t>г/мм2 с</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731953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17911-E26D-4D5B-ABC1-F6789BB0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526</Words>
  <Characters>2999</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 Сидоров</cp:lastModifiedBy>
  <cp:revision>6</cp:revision>
  <cp:lastPrinted>2015-11-09T15:21:00Z</cp:lastPrinted>
  <dcterms:created xsi:type="dcterms:W3CDTF">2015-11-16T11:28:00Z</dcterms:created>
  <dcterms:modified xsi:type="dcterms:W3CDTF">2015-11-16T14:30:00Z</dcterms:modified>
</cp:coreProperties>
</file>