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44" w:rsidRPr="003156BE" w:rsidRDefault="00D4129A" w:rsidP="003156BE">
      <w:pPr>
        <w:jc w:val="both"/>
        <w:rPr>
          <w:rFonts w:ascii="Times New Roman" w:hAnsi="Times New Roman" w:cs="Times New Roman"/>
          <w:b/>
          <w:sz w:val="28"/>
          <w:szCs w:val="24"/>
        </w:rPr>
      </w:pPr>
      <w:r w:rsidRPr="003156BE">
        <w:rPr>
          <w:rFonts w:ascii="Times New Roman" w:hAnsi="Times New Roman" w:cs="Times New Roman"/>
          <w:b/>
          <w:sz w:val="28"/>
          <w:szCs w:val="24"/>
        </w:rPr>
        <w:t>Задача 385:</w:t>
      </w:r>
    </w:p>
    <w:p w:rsidR="00D4129A" w:rsidRPr="003156BE" w:rsidRDefault="00D4129A" w:rsidP="003156BE">
      <w:pPr>
        <w:ind w:firstLine="708"/>
        <w:jc w:val="both"/>
        <w:rPr>
          <w:rFonts w:ascii="Times New Roman" w:hAnsi="Times New Roman" w:cs="Times New Roman"/>
          <w:sz w:val="28"/>
          <w:szCs w:val="24"/>
        </w:rPr>
      </w:pPr>
      <w:r w:rsidRPr="003156BE">
        <w:rPr>
          <w:rFonts w:ascii="Times New Roman" w:hAnsi="Times New Roman" w:cs="Times New Roman"/>
          <w:sz w:val="28"/>
          <w:szCs w:val="24"/>
        </w:rPr>
        <w:t>Завод изготавливает червячные фрезы наружным диаметром 80 мм из катаной быстрорежущей стали соответствующего профиля.</w:t>
      </w:r>
    </w:p>
    <w:p w:rsidR="00D4129A" w:rsidRPr="003156BE" w:rsidRDefault="00D4129A" w:rsidP="003156BE">
      <w:pPr>
        <w:jc w:val="both"/>
        <w:rPr>
          <w:rFonts w:ascii="Times New Roman" w:hAnsi="Times New Roman" w:cs="Times New Roman"/>
          <w:sz w:val="28"/>
          <w:szCs w:val="24"/>
        </w:rPr>
      </w:pPr>
      <w:r w:rsidRPr="003156BE">
        <w:rPr>
          <w:rFonts w:ascii="Times New Roman" w:hAnsi="Times New Roman" w:cs="Times New Roman"/>
          <w:sz w:val="28"/>
          <w:szCs w:val="24"/>
        </w:rPr>
        <w:tab/>
        <w:t>Выбрать марку быстрорежущей стали умеренной теплостойкости и рекомендовать режим термической обработки.</w:t>
      </w:r>
    </w:p>
    <w:p w:rsidR="00D4129A" w:rsidRPr="003156BE" w:rsidRDefault="00D4129A" w:rsidP="003156BE">
      <w:pPr>
        <w:jc w:val="both"/>
        <w:rPr>
          <w:rFonts w:ascii="Times New Roman" w:hAnsi="Times New Roman" w:cs="Times New Roman"/>
          <w:sz w:val="28"/>
          <w:szCs w:val="24"/>
        </w:rPr>
      </w:pPr>
      <w:r w:rsidRPr="003156BE">
        <w:rPr>
          <w:rFonts w:ascii="Times New Roman" w:hAnsi="Times New Roman" w:cs="Times New Roman"/>
          <w:sz w:val="28"/>
          <w:szCs w:val="24"/>
        </w:rPr>
        <w:tab/>
        <w:t>Указать способ химико-термической обработки, позволяющей дополнительно повысить стойкость фрез.</w:t>
      </w:r>
    </w:p>
    <w:p w:rsidR="00D4129A" w:rsidRPr="003156BE" w:rsidRDefault="00D4129A" w:rsidP="003156BE">
      <w:pPr>
        <w:jc w:val="both"/>
        <w:rPr>
          <w:rFonts w:ascii="Times New Roman" w:hAnsi="Times New Roman" w:cs="Times New Roman"/>
          <w:sz w:val="28"/>
          <w:szCs w:val="24"/>
        </w:rPr>
      </w:pPr>
      <w:r w:rsidRPr="003156BE">
        <w:rPr>
          <w:rFonts w:ascii="Times New Roman" w:hAnsi="Times New Roman" w:cs="Times New Roman"/>
          <w:sz w:val="28"/>
          <w:szCs w:val="24"/>
        </w:rPr>
        <w:tab/>
        <w:t>Объяснить, в чем заключается различие в структуре и свойствах быстрорежущей стали из проката диаметром 30-32 и 80-82 мм.</w:t>
      </w:r>
    </w:p>
    <w:p w:rsidR="00D4129A" w:rsidRPr="003156BE" w:rsidRDefault="00D4129A" w:rsidP="003156BE">
      <w:pPr>
        <w:jc w:val="both"/>
        <w:rPr>
          <w:rFonts w:ascii="Times New Roman" w:hAnsi="Times New Roman" w:cs="Times New Roman"/>
          <w:b/>
          <w:sz w:val="28"/>
          <w:szCs w:val="24"/>
        </w:rPr>
      </w:pPr>
      <w:r w:rsidRPr="003156BE">
        <w:rPr>
          <w:rFonts w:ascii="Times New Roman" w:hAnsi="Times New Roman" w:cs="Times New Roman"/>
          <w:b/>
          <w:sz w:val="28"/>
          <w:szCs w:val="24"/>
        </w:rPr>
        <w:t>Решение:</w:t>
      </w:r>
    </w:p>
    <w:p w:rsidR="00D4129A" w:rsidRPr="003156BE" w:rsidRDefault="00D4129A" w:rsidP="003156BE">
      <w:pPr>
        <w:jc w:val="both"/>
        <w:rPr>
          <w:rFonts w:ascii="Times New Roman" w:hAnsi="Times New Roman" w:cs="Times New Roman"/>
          <w:sz w:val="28"/>
          <w:szCs w:val="24"/>
        </w:rPr>
      </w:pPr>
      <w:r w:rsidRPr="003156BE">
        <w:rPr>
          <w:rFonts w:ascii="Times New Roman" w:hAnsi="Times New Roman" w:cs="Times New Roman"/>
          <w:sz w:val="28"/>
          <w:szCs w:val="24"/>
        </w:rPr>
        <w:tab/>
      </w:r>
      <w:r w:rsidR="00A95F56" w:rsidRPr="003156BE">
        <w:rPr>
          <w:rFonts w:ascii="Times New Roman" w:hAnsi="Times New Roman" w:cs="Times New Roman"/>
          <w:sz w:val="28"/>
          <w:szCs w:val="24"/>
        </w:rPr>
        <w:t>Быстрорежущая сталь умеренной теплостойкости сохраняют твердость HRC 60 после нагрева (4ч) до 615-620˚С. Они пригодны для резания сталей и чугунов с твердостью до HB 250-280, т.е. большинства конструкционных материалов, и используются наиболее широко (78-80% от общего производства быстрорежущих сталей). Характерными представителями этой группы являются стали Р18 и более рационально легированные: вольфрамовые (сталь Р12) и вольфрамомолибденовые (сталь Р6М5).</w:t>
      </w:r>
    </w:p>
    <w:p w:rsidR="009B6260" w:rsidRPr="003156BE" w:rsidRDefault="009B6260" w:rsidP="003156BE">
      <w:pPr>
        <w:jc w:val="both"/>
        <w:rPr>
          <w:rFonts w:ascii="Times New Roman" w:hAnsi="Times New Roman" w:cs="Times New Roman"/>
          <w:sz w:val="28"/>
          <w:szCs w:val="24"/>
        </w:rPr>
      </w:pPr>
      <w:r w:rsidRPr="003156BE">
        <w:rPr>
          <w:rFonts w:ascii="Times New Roman" w:hAnsi="Times New Roman" w:cs="Times New Roman"/>
          <w:noProof/>
          <w:sz w:val="24"/>
          <w:lang w:eastAsia="ru-RU"/>
        </w:rPr>
        <w:drawing>
          <wp:inline distT="0" distB="0" distL="0" distR="0" wp14:anchorId="50EFA830" wp14:editId="71D60FFC">
            <wp:extent cx="5940425" cy="5753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575310"/>
                    </a:xfrm>
                    <a:prstGeom prst="rect">
                      <a:avLst/>
                    </a:prstGeom>
                  </pic:spPr>
                </pic:pic>
              </a:graphicData>
            </a:graphic>
          </wp:inline>
        </w:drawing>
      </w:r>
    </w:p>
    <w:p w:rsidR="0070271F" w:rsidRPr="003156BE" w:rsidRDefault="0070271F" w:rsidP="003156BE">
      <w:pPr>
        <w:jc w:val="both"/>
        <w:rPr>
          <w:rFonts w:ascii="Times New Roman" w:hAnsi="Times New Roman" w:cs="Times New Roman"/>
          <w:sz w:val="28"/>
          <w:szCs w:val="24"/>
        </w:rPr>
      </w:pPr>
      <w:r w:rsidRPr="003156BE">
        <w:rPr>
          <w:rFonts w:ascii="Times New Roman" w:hAnsi="Times New Roman" w:cs="Times New Roman"/>
          <w:noProof/>
          <w:sz w:val="24"/>
          <w:lang w:eastAsia="ru-RU"/>
        </w:rPr>
        <w:drawing>
          <wp:inline distT="0" distB="0" distL="0" distR="0" wp14:anchorId="3870ED4C" wp14:editId="2A20CFEC">
            <wp:extent cx="5940425" cy="6889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688975"/>
                    </a:xfrm>
                    <a:prstGeom prst="rect">
                      <a:avLst/>
                    </a:prstGeom>
                  </pic:spPr>
                </pic:pic>
              </a:graphicData>
            </a:graphic>
          </wp:inline>
        </w:drawing>
      </w:r>
    </w:p>
    <w:p w:rsidR="0070271F" w:rsidRPr="003156BE" w:rsidRDefault="0070271F" w:rsidP="003156BE">
      <w:pPr>
        <w:jc w:val="both"/>
        <w:rPr>
          <w:rFonts w:ascii="Times New Roman" w:hAnsi="Times New Roman" w:cs="Times New Roman"/>
          <w:sz w:val="28"/>
          <w:szCs w:val="24"/>
        </w:rPr>
      </w:pPr>
      <w:r w:rsidRPr="003156BE">
        <w:rPr>
          <w:rFonts w:ascii="Times New Roman" w:hAnsi="Times New Roman" w:cs="Times New Roman"/>
          <w:sz w:val="28"/>
          <w:szCs w:val="24"/>
        </w:rPr>
        <w:t>*Геллер Ю.А., Рахштадт А.Г. Материаловедение (методы анализа, лабораторные работы и задачи)</w:t>
      </w:r>
      <w:r w:rsidRPr="003156BE">
        <w:rPr>
          <w:rFonts w:ascii="Times New Roman" w:hAnsi="Times New Roman" w:cs="Times New Roman"/>
          <w:sz w:val="24"/>
        </w:rPr>
        <w:t xml:space="preserve"> </w:t>
      </w:r>
      <w:r w:rsidRPr="003156BE">
        <w:rPr>
          <w:rFonts w:ascii="Times New Roman" w:hAnsi="Times New Roman" w:cs="Times New Roman"/>
          <w:sz w:val="28"/>
          <w:szCs w:val="24"/>
        </w:rPr>
        <w:t>М.: Металлургия, 1975. – [стр. 411]</w:t>
      </w:r>
    </w:p>
    <w:p w:rsidR="009B6260" w:rsidRPr="003156BE" w:rsidRDefault="009B6260" w:rsidP="003156BE">
      <w:pPr>
        <w:jc w:val="both"/>
        <w:rPr>
          <w:rFonts w:ascii="Times New Roman" w:hAnsi="Times New Roman" w:cs="Times New Roman"/>
          <w:sz w:val="28"/>
          <w:szCs w:val="24"/>
        </w:rPr>
      </w:pPr>
      <w:r w:rsidRPr="003156BE">
        <w:rPr>
          <w:rFonts w:ascii="Times New Roman" w:hAnsi="Times New Roman" w:cs="Times New Roman"/>
          <w:sz w:val="28"/>
          <w:szCs w:val="24"/>
        </w:rPr>
        <w:tab/>
        <w:t>С экономической точки зрения, рациональнее всего использовать сталь марки Р6М5, так как вольфрам – дорогой легирующий элемент.</w:t>
      </w:r>
      <w:r w:rsidR="003156BE">
        <w:rPr>
          <w:rFonts w:ascii="Times New Roman" w:hAnsi="Times New Roman" w:cs="Times New Roman"/>
          <w:sz w:val="28"/>
          <w:szCs w:val="24"/>
        </w:rPr>
        <w:t xml:space="preserve"> Также сталь Р6М5 довольно распространенная.</w:t>
      </w:r>
      <w:bookmarkStart w:id="0" w:name="_GoBack"/>
      <w:bookmarkEnd w:id="0"/>
    </w:p>
    <w:p w:rsidR="002F1F0D" w:rsidRPr="003156BE" w:rsidRDefault="002F1F0D" w:rsidP="003156BE">
      <w:pPr>
        <w:jc w:val="both"/>
        <w:rPr>
          <w:rFonts w:ascii="Times New Roman" w:hAnsi="Times New Roman" w:cs="Times New Roman"/>
          <w:sz w:val="28"/>
          <w:szCs w:val="24"/>
        </w:rPr>
      </w:pPr>
      <w:r w:rsidRPr="003156BE">
        <w:rPr>
          <w:rFonts w:ascii="Times New Roman" w:hAnsi="Times New Roman" w:cs="Times New Roman"/>
          <w:noProof/>
          <w:sz w:val="24"/>
          <w:lang w:eastAsia="ru-RU"/>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2371725" cy="72866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71725" cy="7286625"/>
                    </a:xfrm>
                    <a:prstGeom prst="rect">
                      <a:avLst/>
                    </a:prstGeom>
                  </pic:spPr>
                </pic:pic>
              </a:graphicData>
            </a:graphic>
          </wp:anchor>
        </w:drawing>
      </w:r>
      <w:r w:rsidRPr="003156BE">
        <w:rPr>
          <w:rFonts w:ascii="Times New Roman" w:hAnsi="Times New Roman" w:cs="Times New Roman"/>
          <w:sz w:val="28"/>
          <w:szCs w:val="24"/>
        </w:rPr>
        <w:tab/>
        <w:t>Термообработка стали Р6М5:</w:t>
      </w:r>
    </w:p>
    <w:p w:rsidR="002F1F0D" w:rsidRPr="003156BE" w:rsidRDefault="002F1F0D" w:rsidP="003156BE">
      <w:pPr>
        <w:jc w:val="both"/>
        <w:rPr>
          <w:rFonts w:ascii="Times New Roman" w:hAnsi="Times New Roman" w:cs="Times New Roman"/>
          <w:sz w:val="28"/>
          <w:szCs w:val="24"/>
        </w:rPr>
      </w:pPr>
      <w:r w:rsidRPr="003156BE">
        <w:rPr>
          <w:rFonts w:ascii="Times New Roman" w:hAnsi="Times New Roman" w:cs="Times New Roman"/>
          <w:sz w:val="28"/>
          <w:szCs w:val="24"/>
        </w:rPr>
        <w:t xml:space="preserve">Перед началом ТО, как правило, заготовка должна находиться в отожженном состоянии с твердость от 230 до 300 </w:t>
      </w:r>
      <w:r w:rsidRPr="003156BE">
        <w:rPr>
          <w:rFonts w:ascii="Times New Roman" w:hAnsi="Times New Roman" w:cs="Times New Roman"/>
          <w:sz w:val="28"/>
          <w:szCs w:val="24"/>
          <w:lang w:val="en-US"/>
        </w:rPr>
        <w:t>HB</w:t>
      </w:r>
      <w:r w:rsidRPr="003156BE">
        <w:rPr>
          <w:rFonts w:ascii="Times New Roman" w:hAnsi="Times New Roman" w:cs="Times New Roman"/>
          <w:sz w:val="28"/>
          <w:szCs w:val="24"/>
        </w:rPr>
        <w:t xml:space="preserve"> для обработки резанием и придания ей формы нужного инструмента. Целью То является получение такой структуры, при которой инструмент при достаточной вязкости будет иметь максимальную износостойкость. Следует предотвращать обезуглероживание поверхности. Контрольными параметрами при промежуточном контроле после закалки являются величина зерна аустенита и степень обезуглероживания. Конечный контроль включает в себя определение твердости, структурные исследования и проверку точности размеров.</w:t>
      </w:r>
    </w:p>
    <w:p w:rsidR="002F1F0D" w:rsidRPr="003156BE" w:rsidRDefault="002F1F0D" w:rsidP="003156BE">
      <w:pPr>
        <w:jc w:val="both"/>
        <w:rPr>
          <w:rFonts w:ascii="Times New Roman" w:hAnsi="Times New Roman" w:cs="Times New Roman"/>
          <w:sz w:val="28"/>
          <w:szCs w:val="24"/>
        </w:rPr>
      </w:pPr>
      <w:r w:rsidRPr="003156BE">
        <w:rPr>
          <w:rFonts w:ascii="Times New Roman" w:hAnsi="Times New Roman" w:cs="Times New Roman"/>
          <w:sz w:val="28"/>
          <w:szCs w:val="24"/>
        </w:rPr>
        <w:tab/>
      </w:r>
      <w:r w:rsidRPr="003156BE">
        <w:rPr>
          <w:rFonts w:ascii="Times New Roman" w:hAnsi="Times New Roman" w:cs="Times New Roman"/>
          <w:i/>
          <w:sz w:val="28"/>
          <w:szCs w:val="24"/>
        </w:rPr>
        <w:t>Подогрев</w:t>
      </w:r>
      <w:r w:rsidRPr="003156BE">
        <w:rPr>
          <w:rFonts w:ascii="Times New Roman" w:hAnsi="Times New Roman" w:cs="Times New Roman"/>
          <w:sz w:val="28"/>
          <w:szCs w:val="24"/>
        </w:rPr>
        <w:t xml:space="preserve"> проводится для уменьшения термических напряжений и в зависимости от сложности геометрической формы инструмента. Чтобы уменьшить опасность окалинообразования </w:t>
      </w:r>
      <w:r w:rsidR="00D219E7" w:rsidRPr="003156BE">
        <w:rPr>
          <w:rFonts w:ascii="Times New Roman" w:hAnsi="Times New Roman" w:cs="Times New Roman"/>
          <w:sz w:val="28"/>
          <w:szCs w:val="24"/>
        </w:rPr>
        <w:t>или обезуглероживания, выдержку ограничивают временем, необходимым для полного прогрева.</w:t>
      </w:r>
    </w:p>
    <w:p w:rsidR="00D219E7" w:rsidRPr="003156BE" w:rsidRDefault="00D219E7" w:rsidP="003156BE">
      <w:pPr>
        <w:jc w:val="both"/>
        <w:rPr>
          <w:rFonts w:ascii="Times New Roman" w:hAnsi="Times New Roman" w:cs="Times New Roman"/>
          <w:sz w:val="28"/>
          <w:szCs w:val="24"/>
        </w:rPr>
      </w:pPr>
      <w:r w:rsidRPr="003156BE">
        <w:rPr>
          <w:rFonts w:ascii="Times New Roman" w:hAnsi="Times New Roman" w:cs="Times New Roman"/>
          <w:sz w:val="28"/>
          <w:szCs w:val="24"/>
        </w:rPr>
        <w:tab/>
      </w:r>
      <w:r w:rsidRPr="003156BE">
        <w:rPr>
          <w:rFonts w:ascii="Times New Roman" w:hAnsi="Times New Roman" w:cs="Times New Roman"/>
          <w:i/>
          <w:sz w:val="28"/>
          <w:szCs w:val="24"/>
        </w:rPr>
        <w:t>Аустенизация</w:t>
      </w:r>
      <w:r w:rsidRPr="003156BE">
        <w:rPr>
          <w:rFonts w:ascii="Times New Roman" w:hAnsi="Times New Roman" w:cs="Times New Roman"/>
          <w:sz w:val="28"/>
          <w:szCs w:val="24"/>
        </w:rPr>
        <w:t>. Свойства стали значительно изменяются в зависимости от температуры и выдержки при аустенизации. Необходимо обеспечить регулировку температуры соляной ванны так, чтобы колебания не превышали +-5˚С.</w:t>
      </w:r>
    </w:p>
    <w:p w:rsidR="00D219E7" w:rsidRPr="003156BE" w:rsidRDefault="00D219E7" w:rsidP="003156BE">
      <w:pPr>
        <w:jc w:val="both"/>
        <w:rPr>
          <w:rFonts w:ascii="Times New Roman" w:hAnsi="Times New Roman" w:cs="Times New Roman"/>
          <w:sz w:val="28"/>
          <w:szCs w:val="24"/>
        </w:rPr>
      </w:pPr>
      <w:r w:rsidRPr="003156BE">
        <w:rPr>
          <w:rFonts w:ascii="Times New Roman" w:hAnsi="Times New Roman" w:cs="Times New Roman"/>
          <w:sz w:val="28"/>
          <w:szCs w:val="24"/>
        </w:rPr>
        <w:t>Режимы прогрева:</w:t>
      </w:r>
    </w:p>
    <w:p w:rsidR="00D219E7" w:rsidRPr="003156BE" w:rsidRDefault="00D219E7" w:rsidP="003156BE">
      <w:pPr>
        <w:jc w:val="both"/>
        <w:rPr>
          <w:rFonts w:ascii="Times New Roman" w:hAnsi="Times New Roman" w:cs="Times New Roman"/>
          <w:sz w:val="28"/>
          <w:szCs w:val="24"/>
        </w:rPr>
      </w:pPr>
      <w:r w:rsidRPr="003156BE">
        <w:rPr>
          <w:rFonts w:ascii="Times New Roman" w:hAnsi="Times New Roman" w:cs="Times New Roman"/>
          <w:noProof/>
          <w:sz w:val="24"/>
          <w:lang w:eastAsia="ru-RU"/>
        </w:rPr>
        <w:lastRenderedPageBreak/>
        <w:drawing>
          <wp:inline distT="0" distB="0" distL="0" distR="0" wp14:anchorId="5B9F4044" wp14:editId="4FEBC5A2">
            <wp:extent cx="2714625" cy="3162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3162300"/>
                    </a:xfrm>
                    <a:prstGeom prst="rect">
                      <a:avLst/>
                    </a:prstGeom>
                  </pic:spPr>
                </pic:pic>
              </a:graphicData>
            </a:graphic>
          </wp:inline>
        </w:drawing>
      </w:r>
    </w:p>
    <w:p w:rsidR="00D219E7" w:rsidRPr="003156BE" w:rsidRDefault="00D219E7" w:rsidP="003156BE">
      <w:pPr>
        <w:jc w:val="both"/>
        <w:rPr>
          <w:rFonts w:ascii="Times New Roman" w:hAnsi="Times New Roman" w:cs="Times New Roman"/>
          <w:sz w:val="28"/>
          <w:szCs w:val="24"/>
        </w:rPr>
      </w:pPr>
      <w:r w:rsidRPr="003156BE">
        <w:rPr>
          <w:rFonts w:ascii="Times New Roman" w:hAnsi="Times New Roman" w:cs="Times New Roman"/>
          <w:sz w:val="28"/>
          <w:szCs w:val="24"/>
        </w:rPr>
        <w:t>Так как диаметр нашего инструмента больше 15 мм (80 мм), нам потребуется производить трехступенчатый подогрев.</w:t>
      </w:r>
    </w:p>
    <w:p w:rsidR="0009489B" w:rsidRPr="003156BE" w:rsidRDefault="0009489B" w:rsidP="003156BE">
      <w:pPr>
        <w:jc w:val="both"/>
        <w:rPr>
          <w:rFonts w:ascii="Times New Roman" w:hAnsi="Times New Roman" w:cs="Times New Roman"/>
          <w:sz w:val="28"/>
          <w:szCs w:val="24"/>
        </w:rPr>
      </w:pPr>
      <w:r w:rsidRPr="003156BE">
        <w:rPr>
          <w:rFonts w:ascii="Times New Roman" w:hAnsi="Times New Roman" w:cs="Times New Roman"/>
          <w:sz w:val="28"/>
          <w:szCs w:val="24"/>
        </w:rPr>
        <w:t>Температура аустенизации для стали Р6М5 - 1230˚С.</w:t>
      </w:r>
    </w:p>
    <w:p w:rsidR="0009489B" w:rsidRPr="003156BE" w:rsidRDefault="0009489B" w:rsidP="003156BE">
      <w:pPr>
        <w:jc w:val="both"/>
        <w:rPr>
          <w:rFonts w:ascii="Times New Roman" w:hAnsi="Times New Roman" w:cs="Times New Roman"/>
          <w:sz w:val="28"/>
          <w:szCs w:val="24"/>
        </w:rPr>
      </w:pPr>
      <w:r w:rsidRPr="003156BE">
        <w:rPr>
          <w:rFonts w:ascii="Times New Roman" w:hAnsi="Times New Roman" w:cs="Times New Roman"/>
          <w:sz w:val="28"/>
          <w:szCs w:val="24"/>
        </w:rPr>
        <w:t>Температура отпуска - 545˚С, время отпуска – 1,5 часов, число циклов отпуска - 3.</w:t>
      </w:r>
    </w:p>
    <w:p w:rsidR="0009489B" w:rsidRPr="003156BE" w:rsidRDefault="0009489B" w:rsidP="003156BE">
      <w:pPr>
        <w:jc w:val="both"/>
        <w:rPr>
          <w:rFonts w:ascii="Times New Roman" w:hAnsi="Times New Roman" w:cs="Times New Roman"/>
          <w:sz w:val="28"/>
          <w:szCs w:val="24"/>
        </w:rPr>
      </w:pPr>
      <w:r w:rsidRPr="003156BE">
        <w:rPr>
          <w:rFonts w:ascii="Times New Roman" w:hAnsi="Times New Roman" w:cs="Times New Roman"/>
          <w:sz w:val="28"/>
          <w:szCs w:val="24"/>
        </w:rPr>
        <w:t>(Информация по книге Технология термической обработки стали Бренст Р. и другие. М.: Металлургия, 1981)</w:t>
      </w:r>
    </w:p>
    <w:p w:rsidR="0009489B" w:rsidRPr="003156BE" w:rsidRDefault="0009489B" w:rsidP="003156BE">
      <w:pPr>
        <w:ind w:firstLine="708"/>
        <w:jc w:val="both"/>
        <w:rPr>
          <w:rFonts w:ascii="Times New Roman" w:hAnsi="Times New Roman" w:cs="Times New Roman"/>
          <w:sz w:val="28"/>
          <w:szCs w:val="24"/>
        </w:rPr>
      </w:pPr>
      <w:r w:rsidRPr="003156BE">
        <w:rPr>
          <w:rFonts w:ascii="Times New Roman" w:hAnsi="Times New Roman" w:cs="Times New Roman"/>
          <w:sz w:val="28"/>
          <w:szCs w:val="24"/>
        </w:rPr>
        <w:t>Время пребывания в соляной ванне при аустенизации определяется по формуле:</w:t>
      </w:r>
    </w:p>
    <w:p w:rsidR="0009489B" w:rsidRPr="003156BE" w:rsidRDefault="003156BE" w:rsidP="003156BE">
      <w:pPr>
        <w:jc w:val="both"/>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T</m:t>
            </m:r>
          </m:sub>
        </m:sSub>
        <m:r>
          <w:rPr>
            <w:rFonts w:ascii="Cambria Math" w:hAnsi="Cambria Math" w:cs="Times New Roman"/>
            <w:sz w:val="28"/>
            <w:szCs w:val="24"/>
          </w:rPr>
          <m:t>=0,6</m:t>
        </m:r>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D</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A</m:t>
            </m:r>
          </m:sub>
        </m:sSub>
      </m:oMath>
      <w:r w:rsidR="0009489B" w:rsidRPr="003156BE">
        <w:rPr>
          <w:rFonts w:ascii="Times New Roman" w:eastAsiaTheme="minorEastAsia" w:hAnsi="Times New Roman" w:cs="Times New Roman"/>
          <w:sz w:val="28"/>
          <w:szCs w:val="24"/>
        </w:rPr>
        <w:t xml:space="preserve">, </w:t>
      </w:r>
    </w:p>
    <w:p w:rsidR="0009489B" w:rsidRPr="003156BE" w:rsidRDefault="0009489B" w:rsidP="003156BE">
      <w:pPr>
        <w:jc w:val="both"/>
        <w:rPr>
          <w:rFonts w:ascii="Times New Roman" w:eastAsiaTheme="minorEastAsia" w:hAnsi="Times New Roman" w:cs="Times New Roman"/>
          <w:sz w:val="28"/>
          <w:szCs w:val="24"/>
        </w:rPr>
      </w:pPr>
      <w:r w:rsidRPr="003156BE">
        <w:rPr>
          <w:rFonts w:ascii="Times New Roman" w:eastAsiaTheme="minorEastAsia" w:hAnsi="Times New Roman" w:cs="Times New Roman"/>
          <w:sz w:val="28"/>
          <w:szCs w:val="24"/>
        </w:rPr>
        <w:t xml:space="preserve">где </w:t>
      </w:r>
      <m:oMath>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D</m:t>
            </m:r>
          </m:sub>
        </m:sSub>
      </m:oMath>
      <w:r w:rsidRPr="003156BE">
        <w:rPr>
          <w:rFonts w:ascii="Times New Roman" w:eastAsiaTheme="minorEastAsia" w:hAnsi="Times New Roman" w:cs="Times New Roman"/>
          <w:sz w:val="28"/>
          <w:szCs w:val="24"/>
        </w:rPr>
        <w:t xml:space="preserve"> – время прогрева,</w:t>
      </w:r>
    </w:p>
    <w:p w:rsidR="0009489B" w:rsidRPr="003156BE" w:rsidRDefault="0009489B" w:rsidP="003156BE">
      <w:pPr>
        <w:jc w:val="both"/>
        <w:rPr>
          <w:rFonts w:ascii="Times New Roman" w:eastAsiaTheme="minorEastAsia" w:hAnsi="Times New Roman" w:cs="Times New Roman"/>
          <w:sz w:val="28"/>
          <w:szCs w:val="24"/>
        </w:rPr>
      </w:pPr>
      <w:r w:rsidRPr="003156BE">
        <w:rPr>
          <w:rFonts w:ascii="Times New Roman" w:eastAsiaTheme="minorEastAsia" w:hAnsi="Times New Roman" w:cs="Times New Roman"/>
          <w:sz w:val="28"/>
          <w:szCs w:val="24"/>
        </w:rPr>
        <w:t xml:space="preserve">       </w:t>
      </w:r>
      <m:oMath>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A</m:t>
            </m:r>
          </m:sub>
        </m:sSub>
      </m:oMath>
      <w:r w:rsidRPr="003156BE">
        <w:rPr>
          <w:rFonts w:ascii="Times New Roman" w:eastAsiaTheme="minorEastAsia" w:hAnsi="Times New Roman" w:cs="Times New Roman"/>
          <w:sz w:val="28"/>
          <w:szCs w:val="24"/>
        </w:rPr>
        <w:t xml:space="preserve"> – эффективное время аустенизации, для различных сталей является постоянной величиной, в нашем случае </w:t>
      </w:r>
      <w:r w:rsidR="00365F44" w:rsidRPr="003156BE">
        <w:rPr>
          <w:rFonts w:ascii="Times New Roman" w:eastAsiaTheme="minorEastAsia" w:hAnsi="Times New Roman" w:cs="Times New Roman"/>
          <w:sz w:val="28"/>
          <w:szCs w:val="24"/>
        </w:rPr>
        <w:t>имеет значение 120 с.</w:t>
      </w:r>
    </w:p>
    <w:p w:rsidR="00365F44" w:rsidRPr="003156BE" w:rsidRDefault="003156BE" w:rsidP="003156BE">
      <w:pPr>
        <w:jc w:val="both"/>
        <w:rPr>
          <w:rFonts w:ascii="Times New Roman" w:eastAsiaTheme="minorEastAsia" w:hAnsi="Times New Roman" w:cs="Times New Roman"/>
          <w:i/>
          <w:sz w:val="28"/>
          <w:szCs w:val="24"/>
        </w:rPr>
      </w:pPr>
      <m:oMathPara>
        <m:oMathParaPr>
          <m:jc m:val="left"/>
        </m:oMathParaPr>
        <m:oMath>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D</m:t>
              </m:r>
            </m:sub>
          </m:sSub>
          <m:r>
            <w:rPr>
              <w:rFonts w:ascii="Cambria Math" w:hAnsi="Cambria Math" w:cs="Times New Roman"/>
              <w:sz w:val="28"/>
              <w:szCs w:val="24"/>
            </w:rPr>
            <m:t>=</m:t>
          </m:r>
          <m:r>
            <w:rPr>
              <w:rFonts w:ascii="Cambria Math" w:hAnsi="Cambria Math" w:cs="Times New Roman"/>
              <w:sz w:val="28"/>
              <w:szCs w:val="24"/>
              <w:lang w:val="en-US"/>
            </w:rPr>
            <m:t>D∙1.5=80 ∙1.5=</m:t>
          </m:r>
          <m:r>
            <w:rPr>
              <w:rFonts w:ascii="Cambria Math" w:hAnsi="Cambria Math" w:cs="Times New Roman"/>
              <w:sz w:val="28"/>
              <w:szCs w:val="24"/>
            </w:rPr>
            <m:t>120 с</m:t>
          </m:r>
        </m:oMath>
      </m:oMathPara>
    </w:p>
    <w:p w:rsidR="00365F44" w:rsidRPr="003156BE" w:rsidRDefault="003156BE" w:rsidP="003156BE">
      <w:pPr>
        <w:jc w:val="both"/>
        <w:rPr>
          <w:rFonts w:ascii="Times New Roman" w:eastAsiaTheme="minorEastAsia" w:hAnsi="Times New Roman" w:cs="Times New Roman"/>
          <w:sz w:val="28"/>
          <w:szCs w:val="24"/>
        </w:rPr>
      </w:pPr>
      <m:oMathPara>
        <m:oMathParaPr>
          <m:jc m:val="left"/>
        </m:oMathParaPr>
        <m:oMath>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T</m:t>
              </m:r>
            </m:sub>
          </m:sSub>
          <m:r>
            <w:rPr>
              <w:rFonts w:ascii="Cambria Math" w:hAnsi="Cambria Math" w:cs="Times New Roman"/>
              <w:sz w:val="28"/>
              <w:szCs w:val="24"/>
            </w:rPr>
            <m:t>=0,6∙120+120=192 с</m:t>
          </m:r>
        </m:oMath>
      </m:oMathPara>
    </w:p>
    <w:p w:rsidR="00117B62" w:rsidRPr="003156BE" w:rsidRDefault="00365F44" w:rsidP="003156BE">
      <w:pPr>
        <w:jc w:val="both"/>
        <w:rPr>
          <w:rFonts w:ascii="Times New Roman" w:hAnsi="Times New Roman" w:cs="Times New Roman"/>
          <w:sz w:val="28"/>
          <w:szCs w:val="24"/>
        </w:rPr>
      </w:pPr>
      <w:r w:rsidRPr="003156BE">
        <w:rPr>
          <w:rFonts w:ascii="Times New Roman" w:hAnsi="Times New Roman" w:cs="Times New Roman"/>
          <w:sz w:val="28"/>
          <w:szCs w:val="24"/>
        </w:rPr>
        <w:tab/>
      </w:r>
      <w:r w:rsidRPr="003156BE">
        <w:rPr>
          <w:rFonts w:ascii="Times New Roman" w:hAnsi="Times New Roman" w:cs="Times New Roman"/>
          <w:i/>
          <w:sz w:val="28"/>
          <w:szCs w:val="24"/>
        </w:rPr>
        <w:t>Закалка</w:t>
      </w:r>
      <w:r w:rsidRPr="003156BE">
        <w:rPr>
          <w:rFonts w:ascii="Times New Roman" w:hAnsi="Times New Roman" w:cs="Times New Roman"/>
          <w:sz w:val="28"/>
          <w:szCs w:val="24"/>
        </w:rPr>
        <w:t xml:space="preserve">. </w:t>
      </w:r>
      <w:r w:rsidR="006538D2" w:rsidRPr="003156BE">
        <w:rPr>
          <w:rFonts w:ascii="Times New Roman" w:hAnsi="Times New Roman" w:cs="Times New Roman"/>
          <w:sz w:val="28"/>
          <w:szCs w:val="24"/>
        </w:rPr>
        <w:t>Благодаря малой критической скорости охлаждения быстрорежущих сталей закалка инструмента может производиться даже на спокойном воздухе. Инструменты простой геометрической формы можно закаливать в масле. Инструменты, подверженные трещинам и короблению, закаливают по методу ступенчатого охлаждения с промежуточной изотермической выдержкой в соляной ванне при температуре 500-550˚С. Дальнейшее охлаждение производится на спокойном воздухе.</w:t>
      </w:r>
      <w:r w:rsidR="00117B62" w:rsidRPr="003156BE">
        <w:rPr>
          <w:rFonts w:ascii="Times New Roman" w:hAnsi="Times New Roman" w:cs="Times New Roman"/>
          <w:sz w:val="28"/>
          <w:szCs w:val="24"/>
        </w:rPr>
        <w:t xml:space="preserve"> </w:t>
      </w:r>
    </w:p>
    <w:p w:rsidR="00365F44" w:rsidRPr="003156BE" w:rsidRDefault="00117B62" w:rsidP="003156BE">
      <w:pPr>
        <w:jc w:val="both"/>
        <w:rPr>
          <w:rFonts w:ascii="Times New Roman" w:hAnsi="Times New Roman" w:cs="Times New Roman"/>
          <w:sz w:val="28"/>
          <w:szCs w:val="24"/>
        </w:rPr>
      </w:pPr>
      <w:r w:rsidRPr="003156BE">
        <w:rPr>
          <w:rFonts w:ascii="Times New Roman" w:hAnsi="Times New Roman" w:cs="Times New Roman"/>
          <w:sz w:val="28"/>
          <w:szCs w:val="24"/>
        </w:rPr>
        <w:lastRenderedPageBreak/>
        <w:t xml:space="preserve">В нашем случае </w:t>
      </w:r>
      <w:r w:rsidR="003156BE">
        <w:rPr>
          <w:rFonts w:ascii="Times New Roman" w:hAnsi="Times New Roman" w:cs="Times New Roman"/>
          <w:sz w:val="28"/>
          <w:szCs w:val="24"/>
        </w:rPr>
        <w:t>изотермическая выдержка не требуется</w:t>
      </w:r>
      <w:r w:rsidRPr="003156BE">
        <w:rPr>
          <w:rFonts w:ascii="Times New Roman" w:hAnsi="Times New Roman" w:cs="Times New Roman"/>
          <w:sz w:val="28"/>
          <w:szCs w:val="24"/>
        </w:rPr>
        <w:t>.</w:t>
      </w:r>
    </w:p>
    <w:p w:rsidR="00117B62" w:rsidRDefault="00117B62" w:rsidP="003156BE">
      <w:pPr>
        <w:jc w:val="both"/>
        <w:rPr>
          <w:rFonts w:ascii="Times New Roman" w:hAnsi="Times New Roman" w:cs="Times New Roman"/>
          <w:sz w:val="28"/>
          <w:szCs w:val="24"/>
        </w:rPr>
      </w:pPr>
      <w:r w:rsidRPr="003156BE">
        <w:rPr>
          <w:rFonts w:ascii="Times New Roman" w:hAnsi="Times New Roman" w:cs="Times New Roman"/>
          <w:sz w:val="28"/>
          <w:szCs w:val="24"/>
        </w:rPr>
        <w:tab/>
      </w:r>
      <w:r w:rsidRPr="003156BE">
        <w:rPr>
          <w:rFonts w:ascii="Times New Roman" w:hAnsi="Times New Roman" w:cs="Times New Roman"/>
          <w:i/>
          <w:sz w:val="28"/>
          <w:szCs w:val="24"/>
        </w:rPr>
        <w:t>Отпуск</w:t>
      </w:r>
      <w:r w:rsidRPr="003156BE">
        <w:rPr>
          <w:rFonts w:ascii="Times New Roman" w:hAnsi="Times New Roman" w:cs="Times New Roman"/>
          <w:sz w:val="28"/>
          <w:szCs w:val="24"/>
        </w:rPr>
        <w:t>. Для получения максимальной износостойкости инструмента необходимо проводить многократный отпуск при температурах, которые несколько выше температуры, соответствующей максимуму вторичного твердения. Отпуск производят в печи с циркуляцией воздуха или в соляной ванне. Муфельная печь без циркуляции воздуха для отпуска непригодна.</w:t>
      </w:r>
    </w:p>
    <w:p w:rsidR="003156BE" w:rsidRDefault="003156BE" w:rsidP="003156BE">
      <w:pPr>
        <w:jc w:val="both"/>
        <w:rPr>
          <w:rFonts w:ascii="Times New Roman" w:hAnsi="Times New Roman" w:cs="Times New Roman"/>
          <w:sz w:val="28"/>
          <w:szCs w:val="24"/>
        </w:rPr>
      </w:pPr>
      <w:r>
        <w:rPr>
          <w:rFonts w:ascii="Times New Roman" w:hAnsi="Times New Roman" w:cs="Times New Roman"/>
          <w:sz w:val="28"/>
          <w:szCs w:val="24"/>
        </w:rPr>
        <w:tab/>
        <w:t>Также существуют варианты с однократным отпуском, перед которым следует обработка холодом.</w:t>
      </w:r>
    </w:p>
    <w:p w:rsidR="003156BE" w:rsidRPr="003156BE" w:rsidRDefault="003156BE" w:rsidP="003156BE">
      <w:pPr>
        <w:jc w:val="both"/>
        <w:rPr>
          <w:rFonts w:ascii="Times New Roman" w:hAnsi="Times New Roman" w:cs="Times New Roman"/>
          <w:sz w:val="28"/>
          <w:szCs w:val="24"/>
        </w:rPr>
      </w:pPr>
      <w:r>
        <w:rPr>
          <w:noProof/>
          <w:lang w:eastAsia="ru-RU"/>
        </w:rPr>
        <w:drawing>
          <wp:inline distT="0" distB="0" distL="0" distR="0">
            <wp:extent cx="5143500" cy="2219325"/>
            <wp:effectExtent l="0" t="0" r="0" b="9525"/>
            <wp:docPr id="7" name="Рисунок 7" descr="Картинки по запросу закалка быстрорежущей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акалка быстрорежущей стал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219325"/>
                    </a:xfrm>
                    <a:prstGeom prst="rect">
                      <a:avLst/>
                    </a:prstGeom>
                    <a:noFill/>
                    <a:ln>
                      <a:noFill/>
                    </a:ln>
                  </pic:spPr>
                </pic:pic>
              </a:graphicData>
            </a:graphic>
          </wp:inline>
        </w:drawing>
      </w:r>
    </w:p>
    <w:p w:rsidR="00FF3B78" w:rsidRPr="003156BE" w:rsidRDefault="00FF3B78" w:rsidP="003156BE">
      <w:pPr>
        <w:jc w:val="both"/>
        <w:rPr>
          <w:rFonts w:ascii="Times New Roman" w:hAnsi="Times New Roman" w:cs="Times New Roman"/>
          <w:sz w:val="28"/>
          <w:szCs w:val="24"/>
        </w:rPr>
      </w:pPr>
      <w:r w:rsidRPr="003156BE">
        <w:rPr>
          <w:rFonts w:ascii="Times New Roman" w:hAnsi="Times New Roman" w:cs="Times New Roman"/>
          <w:sz w:val="28"/>
          <w:szCs w:val="24"/>
        </w:rPr>
        <w:br w:type="page"/>
      </w:r>
    </w:p>
    <w:p w:rsidR="003A4B1A" w:rsidRPr="003156BE" w:rsidRDefault="003A4B1A" w:rsidP="003156BE">
      <w:pPr>
        <w:jc w:val="both"/>
        <w:rPr>
          <w:rFonts w:ascii="Times New Roman" w:hAnsi="Times New Roman" w:cs="Times New Roman"/>
          <w:sz w:val="28"/>
          <w:szCs w:val="24"/>
        </w:rPr>
      </w:pPr>
      <w:r w:rsidRPr="003156BE">
        <w:rPr>
          <w:rFonts w:ascii="Times New Roman" w:hAnsi="Times New Roman" w:cs="Times New Roman"/>
          <w:sz w:val="28"/>
          <w:szCs w:val="24"/>
        </w:rPr>
        <w:lastRenderedPageBreak/>
        <w:t>Схема проведения ТО стали Р6М5:</w:t>
      </w:r>
    </w:p>
    <w:p w:rsidR="00D0061F" w:rsidRPr="003156BE" w:rsidRDefault="00D0061F" w:rsidP="003156BE">
      <w:pPr>
        <w:jc w:val="both"/>
        <w:rPr>
          <w:rFonts w:ascii="Times New Roman" w:hAnsi="Times New Roman" w:cs="Times New Roman"/>
          <w:sz w:val="28"/>
          <w:szCs w:val="24"/>
        </w:rPr>
      </w:pPr>
      <w:r w:rsidRPr="003156BE">
        <w:rPr>
          <w:rFonts w:ascii="Times New Roman" w:hAnsi="Times New Roman" w:cs="Times New Roman"/>
          <w:sz w:val="28"/>
          <w:szCs w:val="24"/>
        </w:rPr>
        <w:t>Схема закалки с трехступенчатым подогревом и изотермической выдержкой:</w:t>
      </w:r>
    </w:p>
    <w:p w:rsidR="003A4B1A" w:rsidRPr="003156BE" w:rsidRDefault="003A4B1A" w:rsidP="003156BE">
      <w:pPr>
        <w:jc w:val="both"/>
        <w:rPr>
          <w:rFonts w:ascii="Times New Roman" w:hAnsi="Times New Roman" w:cs="Times New Roman"/>
          <w:sz w:val="28"/>
          <w:szCs w:val="24"/>
        </w:rPr>
      </w:pPr>
      <w:r w:rsidRPr="003156BE">
        <w:rPr>
          <w:rFonts w:ascii="Times New Roman" w:hAnsi="Times New Roman" w:cs="Times New Roman"/>
          <w:noProof/>
          <w:sz w:val="28"/>
          <w:szCs w:val="24"/>
          <w:lang w:eastAsia="ru-RU"/>
        </w:rPr>
        <w:drawing>
          <wp:inline distT="0" distB="0" distL="0" distR="0">
            <wp:extent cx="5857875" cy="3328338"/>
            <wp:effectExtent l="0" t="0" r="9525"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061F" w:rsidRPr="003156BE" w:rsidRDefault="00D0061F" w:rsidP="003156BE">
      <w:pPr>
        <w:jc w:val="both"/>
        <w:rPr>
          <w:rFonts w:ascii="Times New Roman" w:hAnsi="Times New Roman" w:cs="Times New Roman"/>
          <w:sz w:val="28"/>
          <w:szCs w:val="24"/>
        </w:rPr>
      </w:pPr>
      <w:r w:rsidRPr="003156BE">
        <w:rPr>
          <w:rFonts w:ascii="Times New Roman" w:hAnsi="Times New Roman" w:cs="Times New Roman"/>
          <w:sz w:val="28"/>
          <w:szCs w:val="24"/>
        </w:rPr>
        <w:t>Тройной высокий отпуск:</w:t>
      </w:r>
    </w:p>
    <w:p w:rsidR="00EE5F49" w:rsidRPr="003156BE" w:rsidRDefault="00EE5F49" w:rsidP="003156BE">
      <w:pPr>
        <w:jc w:val="both"/>
        <w:rPr>
          <w:rFonts w:ascii="Times New Roman" w:hAnsi="Times New Roman" w:cs="Times New Roman"/>
          <w:sz w:val="28"/>
          <w:szCs w:val="24"/>
        </w:rPr>
      </w:pPr>
      <w:r w:rsidRPr="003156BE">
        <w:rPr>
          <w:rFonts w:ascii="Times New Roman" w:hAnsi="Times New Roman" w:cs="Times New Roman"/>
          <w:noProof/>
          <w:sz w:val="28"/>
          <w:szCs w:val="24"/>
          <w:lang w:eastAsia="ru-RU"/>
        </w:rPr>
        <w:drawing>
          <wp:inline distT="0" distB="0" distL="0" distR="0" wp14:anchorId="19038EB1" wp14:editId="3885D3D3">
            <wp:extent cx="5857875" cy="3328338"/>
            <wp:effectExtent l="0" t="0" r="952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46B" w:rsidRPr="003156BE" w:rsidRDefault="004E146B" w:rsidP="003156BE">
      <w:pPr>
        <w:jc w:val="both"/>
        <w:rPr>
          <w:rFonts w:ascii="Times New Roman" w:hAnsi="Times New Roman" w:cs="Times New Roman"/>
          <w:i/>
          <w:sz w:val="28"/>
          <w:szCs w:val="24"/>
        </w:rPr>
      </w:pPr>
      <w:r w:rsidRPr="003156BE">
        <w:rPr>
          <w:rFonts w:ascii="Times New Roman" w:hAnsi="Times New Roman" w:cs="Times New Roman"/>
          <w:i/>
          <w:sz w:val="28"/>
          <w:szCs w:val="24"/>
        </w:rPr>
        <w:t>Химико-термическая обработка:</w:t>
      </w:r>
    </w:p>
    <w:p w:rsidR="004E146B" w:rsidRPr="003156BE" w:rsidRDefault="004E146B" w:rsidP="003156BE">
      <w:pPr>
        <w:jc w:val="both"/>
        <w:rPr>
          <w:rFonts w:ascii="Times New Roman" w:hAnsi="Times New Roman" w:cs="Times New Roman"/>
          <w:sz w:val="28"/>
          <w:szCs w:val="24"/>
        </w:rPr>
      </w:pPr>
      <w:r w:rsidRPr="003156BE">
        <w:rPr>
          <w:rFonts w:ascii="Times New Roman" w:hAnsi="Times New Roman" w:cs="Times New Roman"/>
          <w:sz w:val="28"/>
          <w:szCs w:val="24"/>
        </w:rPr>
        <w:tab/>
        <w:t xml:space="preserve">Для повышения износостойкости инструмента после отпуска проводится дополнительно химико-термическая обработка. При этом температура, при которой происходит эта обработка не должна превышать температуру отпуска. Методы химико-термической обработки </w:t>
      </w:r>
      <w:r w:rsidRPr="003156BE">
        <w:rPr>
          <w:rFonts w:ascii="Times New Roman" w:hAnsi="Times New Roman" w:cs="Times New Roman"/>
          <w:sz w:val="28"/>
          <w:szCs w:val="24"/>
        </w:rPr>
        <w:lastRenderedPageBreak/>
        <w:t>предусматривают азотирование (цианирование)</w:t>
      </w:r>
      <w:r w:rsidR="003156BE">
        <w:rPr>
          <w:rFonts w:ascii="Times New Roman" w:hAnsi="Times New Roman" w:cs="Times New Roman"/>
          <w:sz w:val="28"/>
          <w:szCs w:val="24"/>
        </w:rPr>
        <w:t xml:space="preserve"> и низкотемпературную нитроцементацию, что наиболее хорошо повышает износостойкость стали</w:t>
      </w:r>
      <w:r w:rsidRPr="003156BE">
        <w:rPr>
          <w:rFonts w:ascii="Times New Roman" w:hAnsi="Times New Roman" w:cs="Times New Roman"/>
          <w:sz w:val="28"/>
          <w:szCs w:val="24"/>
        </w:rPr>
        <w:t xml:space="preserve">. </w:t>
      </w:r>
    </w:p>
    <w:p w:rsidR="00CA07A2" w:rsidRPr="003156BE" w:rsidRDefault="00CA07A2" w:rsidP="003156BE">
      <w:pPr>
        <w:ind w:firstLine="708"/>
        <w:jc w:val="both"/>
        <w:rPr>
          <w:rFonts w:ascii="Times New Roman" w:hAnsi="Times New Roman" w:cs="Times New Roman"/>
          <w:sz w:val="28"/>
          <w:szCs w:val="24"/>
        </w:rPr>
      </w:pPr>
      <w:r w:rsidRPr="003156BE">
        <w:rPr>
          <w:rFonts w:ascii="Times New Roman" w:hAnsi="Times New Roman" w:cs="Times New Roman"/>
          <w:sz w:val="28"/>
          <w:szCs w:val="24"/>
        </w:rPr>
        <w:t xml:space="preserve">Различие в структуре и свойствах быстрорежущей стали из проката диаметром </w:t>
      </w:r>
      <w:r w:rsidR="001E2A35" w:rsidRPr="003156BE">
        <w:rPr>
          <w:rFonts w:ascii="Times New Roman" w:hAnsi="Times New Roman" w:cs="Times New Roman"/>
          <w:sz w:val="28"/>
          <w:szCs w:val="24"/>
        </w:rPr>
        <w:t>30-32 и 80-82 мм:</w:t>
      </w:r>
    </w:p>
    <w:p w:rsidR="00CA07A2" w:rsidRPr="003156BE" w:rsidRDefault="008656A3" w:rsidP="003156BE">
      <w:pPr>
        <w:ind w:firstLine="708"/>
        <w:jc w:val="both"/>
        <w:rPr>
          <w:rFonts w:ascii="Times New Roman" w:hAnsi="Times New Roman" w:cs="Times New Roman"/>
          <w:sz w:val="28"/>
          <w:szCs w:val="24"/>
        </w:rPr>
      </w:pPr>
      <w:r w:rsidRPr="003156BE">
        <w:rPr>
          <w:rFonts w:ascii="Times New Roman" w:hAnsi="Times New Roman" w:cs="Times New Roman"/>
          <w:sz w:val="28"/>
          <w:szCs w:val="24"/>
        </w:rPr>
        <w:t>По данным ГОСТ 19265-73 допустимая карбидная неоднородность для разных диаметров различна: 30-32 мм – 3 балл, 80-82 мм – 6 балл. Величина зерна аустенита для 30-32 мм допускается не более 10 баллов, для 80-82 мм не более 9.</w:t>
      </w:r>
    </w:p>
    <w:sectPr w:rsidR="00CA07A2" w:rsidRPr="00315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9A"/>
    <w:rsid w:val="0003142E"/>
    <w:rsid w:val="000731D5"/>
    <w:rsid w:val="0009489B"/>
    <w:rsid w:val="00117B62"/>
    <w:rsid w:val="00143B44"/>
    <w:rsid w:val="001E2A35"/>
    <w:rsid w:val="002F1F0D"/>
    <w:rsid w:val="003156BE"/>
    <w:rsid w:val="00365F44"/>
    <w:rsid w:val="003A4B1A"/>
    <w:rsid w:val="004E146B"/>
    <w:rsid w:val="00525FE2"/>
    <w:rsid w:val="00526029"/>
    <w:rsid w:val="006538D2"/>
    <w:rsid w:val="0070271F"/>
    <w:rsid w:val="008656A3"/>
    <w:rsid w:val="009B6260"/>
    <w:rsid w:val="00A95F56"/>
    <w:rsid w:val="00CA07A2"/>
    <w:rsid w:val="00D0061F"/>
    <w:rsid w:val="00D219E7"/>
    <w:rsid w:val="00D4129A"/>
    <w:rsid w:val="00EE5F49"/>
    <w:rsid w:val="00FF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A676"/>
  <w15:chartTrackingRefBased/>
  <w15:docId w15:val="{B36CD92A-514D-4284-A738-E323960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48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hart" Target="charts/chart2.xml"/><Relationship Id="rId4" Type="http://schemas.openxmlformats.org/officeDocument/2006/relationships/image" Target="media/image1.png"/><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Лист1!$B$1</c:f>
              <c:strCache>
                <c:ptCount val="1"/>
                <c:pt idx="0">
                  <c:v>Температура</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C-B7B4-4FB8-848C-A1709D0C0E80}"/>
                </c:ext>
              </c:extLst>
            </c:dLbl>
            <c:dLbl>
              <c:idx val="1"/>
              <c:layout>
                <c:manualLayout>
                  <c:x val="-1.699074074074074E-2"/>
                  <c:y val="-5.3541744781902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B4-4FB8-848C-A1709D0C0E80}"/>
                </c:ext>
              </c:extLst>
            </c:dLbl>
            <c:dLbl>
              <c:idx val="2"/>
              <c:delete val="1"/>
              <c:extLst>
                <c:ext xmlns:c15="http://schemas.microsoft.com/office/drawing/2012/chart" uri="{CE6537A1-D6FC-4f65-9D91-7224C49458BB}"/>
                <c:ext xmlns:c16="http://schemas.microsoft.com/office/drawing/2014/chart" uri="{C3380CC4-5D6E-409C-BE32-E72D297353CC}">
                  <c16:uniqueId val="{00000007-B7B4-4FB8-848C-A1709D0C0E80}"/>
                </c:ext>
              </c:extLst>
            </c:dLbl>
            <c:dLbl>
              <c:idx val="3"/>
              <c:layout>
                <c:manualLayout>
                  <c:x val="-1.4675925925925926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B4-4FB8-848C-A1709D0C0E80}"/>
                </c:ext>
              </c:extLst>
            </c:dLbl>
            <c:dLbl>
              <c:idx val="4"/>
              <c:delete val="1"/>
              <c:extLst>
                <c:ext xmlns:c15="http://schemas.microsoft.com/office/drawing/2012/chart" uri="{CE6537A1-D6FC-4f65-9D91-7224C49458BB}"/>
                <c:ext xmlns:c16="http://schemas.microsoft.com/office/drawing/2014/chart" uri="{C3380CC4-5D6E-409C-BE32-E72D297353CC}">
                  <c16:uniqueId val="{00000005-B7B4-4FB8-848C-A1709D0C0E80}"/>
                </c:ext>
              </c:extLst>
            </c:dLbl>
            <c:dLbl>
              <c:idx val="5"/>
              <c:layout>
                <c:manualLayout>
                  <c:x val="-1.7638888888888888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B4-4FB8-848C-A1709D0C0E80}"/>
                </c:ext>
              </c:extLst>
            </c:dLbl>
            <c:dLbl>
              <c:idx val="6"/>
              <c:delete val="1"/>
              <c:extLst>
                <c:ext xmlns:c15="http://schemas.microsoft.com/office/drawing/2012/chart" uri="{CE6537A1-D6FC-4f65-9D91-7224C49458BB}"/>
                <c:ext xmlns:c16="http://schemas.microsoft.com/office/drawing/2014/chart" uri="{C3380CC4-5D6E-409C-BE32-E72D297353CC}">
                  <c16:uniqueId val="{00000003-B7B4-4FB8-848C-A1709D0C0E80}"/>
                </c:ext>
              </c:extLst>
            </c:dLbl>
            <c:dLbl>
              <c:idx val="7"/>
              <c:layout>
                <c:manualLayout>
                  <c:x val="2.4027777777777776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B4-4FB8-848C-A1709D0C0E80}"/>
                </c:ext>
              </c:extLst>
            </c:dLbl>
            <c:dLbl>
              <c:idx val="8"/>
              <c:delete val="1"/>
              <c:extLst>
                <c:ext xmlns:c15="http://schemas.microsoft.com/office/drawing/2012/chart" uri="{CE6537A1-D6FC-4f65-9D91-7224C49458BB}"/>
                <c:ext xmlns:c16="http://schemas.microsoft.com/office/drawing/2014/chart" uri="{C3380CC4-5D6E-409C-BE32-E72D297353CC}">
                  <c16:uniqueId val="{00000002-B7B4-4FB8-848C-A1709D0C0E80}"/>
                </c:ext>
              </c:extLst>
            </c:dLbl>
            <c:dLbl>
              <c:idx val="9"/>
              <c:delete val="1"/>
              <c:extLst>
                <c:ext xmlns:c15="http://schemas.microsoft.com/office/drawing/2012/chart" uri="{CE6537A1-D6FC-4f65-9D91-7224C49458BB}"/>
                <c:ext xmlns:c16="http://schemas.microsoft.com/office/drawing/2014/chart" uri="{C3380CC4-5D6E-409C-BE32-E72D297353CC}">
                  <c16:uniqueId val="{00000009-B7B4-4FB8-848C-A1709D0C0E80}"/>
                </c:ext>
              </c:extLst>
            </c:dLbl>
            <c:dLbl>
              <c:idx val="10"/>
              <c:layout>
                <c:manualLayout>
                  <c:x val="-8.4120370370370456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B4-4FB8-848C-A1709D0C0E80}"/>
                </c:ext>
              </c:extLst>
            </c:dLbl>
            <c:dLbl>
              <c:idx val="11"/>
              <c:delete val="1"/>
              <c:extLst>
                <c:ext xmlns:c15="http://schemas.microsoft.com/office/drawing/2012/chart" uri="{CE6537A1-D6FC-4f65-9D91-7224C49458BB}"/>
                <c:ext xmlns:c16="http://schemas.microsoft.com/office/drawing/2014/chart" uri="{C3380CC4-5D6E-409C-BE32-E72D297353CC}">
                  <c16:uniqueId val="{0000000B-B7B4-4FB8-848C-A1709D0C0E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Лист1!$A$2:$A$13</c:f>
              <c:numCache>
                <c:formatCode>General</c:formatCode>
                <c:ptCount val="12"/>
                <c:pt idx="0">
                  <c:v>0</c:v>
                </c:pt>
                <c:pt idx="1">
                  <c:v>120</c:v>
                </c:pt>
                <c:pt idx="2">
                  <c:v>180</c:v>
                </c:pt>
                <c:pt idx="3">
                  <c:v>300</c:v>
                </c:pt>
                <c:pt idx="4">
                  <c:v>360</c:v>
                </c:pt>
                <c:pt idx="5">
                  <c:v>480</c:v>
                </c:pt>
                <c:pt idx="6">
                  <c:v>540</c:v>
                </c:pt>
                <c:pt idx="7">
                  <c:v>660</c:v>
                </c:pt>
                <c:pt idx="8">
                  <c:v>852</c:v>
                </c:pt>
                <c:pt idx="9">
                  <c:v>872</c:v>
                </c:pt>
                <c:pt idx="10">
                  <c:v>992</c:v>
                </c:pt>
                <c:pt idx="11">
                  <c:v>1112</c:v>
                </c:pt>
              </c:numCache>
            </c:numRef>
          </c:xVal>
          <c:yVal>
            <c:numRef>
              <c:f>Лист1!$B$2:$B$13</c:f>
              <c:numCache>
                <c:formatCode>General</c:formatCode>
                <c:ptCount val="12"/>
                <c:pt idx="0">
                  <c:v>20</c:v>
                </c:pt>
                <c:pt idx="1">
                  <c:v>500</c:v>
                </c:pt>
                <c:pt idx="2">
                  <c:v>500</c:v>
                </c:pt>
                <c:pt idx="3">
                  <c:v>800</c:v>
                </c:pt>
                <c:pt idx="4">
                  <c:v>800</c:v>
                </c:pt>
                <c:pt idx="5">
                  <c:v>1000</c:v>
                </c:pt>
                <c:pt idx="6">
                  <c:v>1000</c:v>
                </c:pt>
                <c:pt idx="7">
                  <c:v>1230</c:v>
                </c:pt>
                <c:pt idx="8">
                  <c:v>1230</c:v>
                </c:pt>
                <c:pt idx="9">
                  <c:v>500</c:v>
                </c:pt>
                <c:pt idx="10">
                  <c:v>500</c:v>
                </c:pt>
                <c:pt idx="11">
                  <c:v>20</c:v>
                </c:pt>
              </c:numCache>
            </c:numRef>
          </c:yVal>
          <c:smooth val="0"/>
          <c:extLst>
            <c:ext xmlns:c16="http://schemas.microsoft.com/office/drawing/2014/chart" uri="{C3380CC4-5D6E-409C-BE32-E72D297353CC}">
              <c16:uniqueId val="{00000000-B7B4-4FB8-848C-A1709D0C0E80}"/>
            </c:ext>
          </c:extLst>
        </c:ser>
        <c:dLbls>
          <c:dLblPos val="t"/>
          <c:showLegendKey val="0"/>
          <c:showVal val="1"/>
          <c:showCatName val="0"/>
          <c:showSerName val="0"/>
          <c:showPercent val="0"/>
          <c:showBubbleSize val="0"/>
        </c:dLbls>
        <c:axId val="444934520"/>
        <c:axId val="444933536"/>
      </c:scatterChart>
      <c:valAx>
        <c:axId val="4449345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a:t>
                </a:r>
                <a:r>
                  <a:rPr lang="ru-RU" baseline="0"/>
                  <a:t>, с</a:t>
                </a:r>
                <a:endParaRPr lang="ru-RU"/>
              </a:p>
            </c:rich>
          </c:tx>
          <c:layout>
            <c:manualLayout>
              <c:xMode val="edge"/>
              <c:yMode val="edge"/>
              <c:x val="0.89353492271799362"/>
              <c:y val="0.892043494563179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33536"/>
        <c:crosses val="autoZero"/>
        <c:crossBetween val="midCat"/>
        <c:minorUnit val="30"/>
      </c:valAx>
      <c:valAx>
        <c:axId val="4449335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Температура,</a:t>
                </a:r>
                <a:r>
                  <a:rPr lang="ru-RU" baseline="0"/>
                  <a:t> </a:t>
                </a:r>
                <a:r>
                  <a:rPr lang="ru-RU" baseline="0">
                    <a:latin typeface="Times New Roman" panose="02020603050405020304" pitchFamily="18" charset="0"/>
                    <a:cs typeface="Times New Roman" panose="02020603050405020304" pitchFamily="18" charset="0"/>
                  </a:rPr>
                  <a:t>˚С</a:t>
                </a:r>
                <a:endParaRPr lang="ru-RU"/>
              </a:p>
            </c:rich>
          </c:tx>
          <c:layout>
            <c:manualLayout>
              <c:xMode val="edge"/>
              <c:yMode val="edge"/>
              <c:x val="1.8518518518518517E-2"/>
              <c:y val="2.492375953005872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34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Лист1!$B$1</c:f>
              <c:strCache>
                <c:ptCount val="1"/>
                <c:pt idx="0">
                  <c:v>Температура</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F60C-49C8-91C7-3D7C4DAC416C}"/>
                </c:ext>
              </c:extLst>
            </c:dLbl>
            <c:dLbl>
              <c:idx val="1"/>
              <c:layout>
                <c:manualLayout>
                  <c:x val="5.0217869107824914E-2"/>
                  <c:y val="-3.82775421532525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0C-49C8-91C7-3D7C4DAC416C}"/>
                </c:ext>
              </c:extLst>
            </c:dLbl>
            <c:dLbl>
              <c:idx val="2"/>
              <c:delete val="1"/>
              <c:extLst>
                <c:ext xmlns:c15="http://schemas.microsoft.com/office/drawing/2012/chart" uri="{CE6537A1-D6FC-4f65-9D91-7224C49458BB}"/>
                <c:ext xmlns:c16="http://schemas.microsoft.com/office/drawing/2014/chart" uri="{C3380CC4-5D6E-409C-BE32-E72D297353CC}">
                  <c16:uniqueId val="{00000002-F60C-49C8-91C7-3D7C4DAC416C}"/>
                </c:ext>
              </c:extLst>
            </c:dLbl>
            <c:dLbl>
              <c:idx val="3"/>
              <c:delete val="1"/>
              <c:extLst>
                <c:ext xmlns:c15="http://schemas.microsoft.com/office/drawing/2012/chart" uri="{CE6537A1-D6FC-4f65-9D91-7224C49458BB}"/>
                <c:ext xmlns:c16="http://schemas.microsoft.com/office/drawing/2014/chart" uri="{C3380CC4-5D6E-409C-BE32-E72D297353CC}">
                  <c16:uniqueId val="{00000003-F60C-49C8-91C7-3D7C4DAC416C}"/>
                </c:ext>
              </c:extLst>
            </c:dLbl>
            <c:dLbl>
              <c:idx val="4"/>
              <c:delete val="1"/>
              <c:extLst>
                <c:ext xmlns:c15="http://schemas.microsoft.com/office/drawing/2012/chart" uri="{CE6537A1-D6FC-4f65-9D91-7224C49458BB}"/>
                <c:ext xmlns:c16="http://schemas.microsoft.com/office/drawing/2014/chart" uri="{C3380CC4-5D6E-409C-BE32-E72D297353CC}">
                  <c16:uniqueId val="{00000004-F60C-49C8-91C7-3D7C4DAC416C}"/>
                </c:ext>
              </c:extLst>
            </c:dLbl>
            <c:dLbl>
              <c:idx val="5"/>
              <c:layout>
                <c:manualLayout>
                  <c:x val="5.1737874229135991E-2"/>
                  <c:y val="-3.81252000054085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0C-49C8-91C7-3D7C4DAC416C}"/>
                </c:ext>
              </c:extLst>
            </c:dLbl>
            <c:dLbl>
              <c:idx val="6"/>
              <c:delete val="1"/>
              <c:extLst>
                <c:ext xmlns:c15="http://schemas.microsoft.com/office/drawing/2012/chart" uri="{CE6537A1-D6FC-4f65-9D91-7224C49458BB}"/>
                <c:ext xmlns:c16="http://schemas.microsoft.com/office/drawing/2014/chart" uri="{C3380CC4-5D6E-409C-BE32-E72D297353CC}">
                  <c16:uniqueId val="{00000006-F60C-49C8-91C7-3D7C4DAC416C}"/>
                </c:ext>
              </c:extLst>
            </c:dLbl>
            <c:dLbl>
              <c:idx val="7"/>
              <c:delete val="1"/>
              <c:extLst>
                <c:ext xmlns:c15="http://schemas.microsoft.com/office/drawing/2012/chart" uri="{CE6537A1-D6FC-4f65-9D91-7224C49458BB}"/>
                <c:ext xmlns:c16="http://schemas.microsoft.com/office/drawing/2014/chart" uri="{C3380CC4-5D6E-409C-BE32-E72D297353CC}">
                  <c16:uniqueId val="{00000007-F60C-49C8-91C7-3D7C4DAC416C}"/>
                </c:ext>
              </c:extLst>
            </c:dLbl>
            <c:dLbl>
              <c:idx val="8"/>
              <c:delete val="1"/>
              <c:extLst>
                <c:ext xmlns:c15="http://schemas.microsoft.com/office/drawing/2012/chart" uri="{CE6537A1-D6FC-4f65-9D91-7224C49458BB}"/>
                <c:ext xmlns:c16="http://schemas.microsoft.com/office/drawing/2014/chart" uri="{C3380CC4-5D6E-409C-BE32-E72D297353CC}">
                  <c16:uniqueId val="{00000008-F60C-49C8-91C7-3D7C4DAC416C}"/>
                </c:ext>
              </c:extLst>
            </c:dLbl>
            <c:dLbl>
              <c:idx val="9"/>
              <c:delete val="1"/>
              <c:extLst>
                <c:ext xmlns:c15="http://schemas.microsoft.com/office/drawing/2012/chart" uri="{CE6537A1-D6FC-4f65-9D91-7224C49458BB}"/>
                <c:ext xmlns:c16="http://schemas.microsoft.com/office/drawing/2014/chart" uri="{C3380CC4-5D6E-409C-BE32-E72D297353CC}">
                  <c16:uniqueId val="{00000009-F60C-49C8-91C7-3D7C4DAC416C}"/>
                </c:ext>
              </c:extLst>
            </c:dLbl>
            <c:dLbl>
              <c:idx val="10"/>
              <c:layout>
                <c:manualLayout>
                  <c:x val="-0.1166407613682436"/>
                  <c:y val="-3.81252000054085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0C-49C8-91C7-3D7C4DAC416C}"/>
                </c:ext>
              </c:extLst>
            </c:dLbl>
            <c:dLbl>
              <c:idx val="11"/>
              <c:delete val="1"/>
              <c:extLst>
                <c:ext xmlns:c15="http://schemas.microsoft.com/office/drawing/2012/chart" uri="{CE6537A1-D6FC-4f65-9D91-7224C49458BB}"/>
                <c:ext xmlns:c16="http://schemas.microsoft.com/office/drawing/2014/chart" uri="{C3380CC4-5D6E-409C-BE32-E72D297353CC}">
                  <c16:uniqueId val="{0000000B-F60C-49C8-91C7-3D7C4DAC41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Лист1!$A$2:$A$13</c:f>
              <c:numCache>
                <c:formatCode>General</c:formatCode>
                <c:ptCount val="12"/>
                <c:pt idx="0">
                  <c:v>0</c:v>
                </c:pt>
                <c:pt idx="1">
                  <c:v>2</c:v>
                </c:pt>
                <c:pt idx="2">
                  <c:v>92</c:v>
                </c:pt>
                <c:pt idx="3">
                  <c:v>112</c:v>
                </c:pt>
                <c:pt idx="4">
                  <c:v>120</c:v>
                </c:pt>
                <c:pt idx="5">
                  <c:v>122</c:v>
                </c:pt>
                <c:pt idx="6">
                  <c:v>212</c:v>
                </c:pt>
                <c:pt idx="7">
                  <c:v>232</c:v>
                </c:pt>
                <c:pt idx="8">
                  <c:v>240</c:v>
                </c:pt>
                <c:pt idx="9">
                  <c:v>242</c:v>
                </c:pt>
                <c:pt idx="10">
                  <c:v>332</c:v>
                </c:pt>
                <c:pt idx="11">
                  <c:v>352</c:v>
                </c:pt>
              </c:numCache>
            </c:numRef>
          </c:xVal>
          <c:yVal>
            <c:numRef>
              <c:f>Лист1!$B$2:$B$13</c:f>
              <c:numCache>
                <c:formatCode>General</c:formatCode>
                <c:ptCount val="12"/>
                <c:pt idx="0">
                  <c:v>20</c:v>
                </c:pt>
                <c:pt idx="1">
                  <c:v>545</c:v>
                </c:pt>
                <c:pt idx="2">
                  <c:v>545</c:v>
                </c:pt>
                <c:pt idx="3">
                  <c:v>20</c:v>
                </c:pt>
                <c:pt idx="4">
                  <c:v>20</c:v>
                </c:pt>
                <c:pt idx="5">
                  <c:v>545</c:v>
                </c:pt>
                <c:pt idx="6">
                  <c:v>545</c:v>
                </c:pt>
                <c:pt idx="7">
                  <c:v>20</c:v>
                </c:pt>
                <c:pt idx="8">
                  <c:v>20</c:v>
                </c:pt>
                <c:pt idx="9">
                  <c:v>545</c:v>
                </c:pt>
                <c:pt idx="10">
                  <c:v>545</c:v>
                </c:pt>
                <c:pt idx="11">
                  <c:v>20</c:v>
                </c:pt>
              </c:numCache>
            </c:numRef>
          </c:yVal>
          <c:smooth val="0"/>
          <c:extLst>
            <c:ext xmlns:c16="http://schemas.microsoft.com/office/drawing/2014/chart" uri="{C3380CC4-5D6E-409C-BE32-E72D297353CC}">
              <c16:uniqueId val="{0000000C-F60C-49C8-91C7-3D7C4DAC416C}"/>
            </c:ext>
          </c:extLst>
        </c:ser>
        <c:dLbls>
          <c:dLblPos val="t"/>
          <c:showLegendKey val="0"/>
          <c:showVal val="1"/>
          <c:showCatName val="0"/>
          <c:showSerName val="0"/>
          <c:showPercent val="0"/>
          <c:showBubbleSize val="0"/>
        </c:dLbls>
        <c:axId val="444934520"/>
        <c:axId val="444933536"/>
      </c:scatterChart>
      <c:valAx>
        <c:axId val="444934520"/>
        <c:scaling>
          <c:orientation val="minMax"/>
          <c:max val="37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a:t>
                </a:r>
                <a:r>
                  <a:rPr lang="ru-RU" baseline="0"/>
                  <a:t>, мин</a:t>
                </a:r>
                <a:endParaRPr lang="ru-RU"/>
              </a:p>
            </c:rich>
          </c:tx>
          <c:layout>
            <c:manualLayout>
              <c:xMode val="edge"/>
              <c:yMode val="edge"/>
              <c:x val="0.89353492271799362"/>
              <c:y val="0.892043494563179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33536"/>
        <c:crosses val="autoZero"/>
        <c:crossBetween val="midCat"/>
        <c:majorUnit val="60"/>
        <c:minorUnit val="10"/>
      </c:valAx>
      <c:valAx>
        <c:axId val="444933536"/>
        <c:scaling>
          <c:orientation val="minMax"/>
          <c:max val="7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Температура,</a:t>
                </a:r>
                <a:r>
                  <a:rPr lang="ru-RU" baseline="0"/>
                  <a:t> </a:t>
                </a:r>
                <a:r>
                  <a:rPr lang="ru-RU" baseline="0">
                    <a:latin typeface="Times New Roman" panose="02020603050405020304" pitchFamily="18" charset="0"/>
                    <a:cs typeface="Times New Roman" panose="02020603050405020304" pitchFamily="18" charset="0"/>
                  </a:rPr>
                  <a:t>˚С</a:t>
                </a:r>
                <a:endParaRPr lang="ru-RU"/>
              </a:p>
            </c:rich>
          </c:tx>
          <c:layout>
            <c:manualLayout>
              <c:xMode val="edge"/>
              <c:yMode val="edge"/>
              <c:x val="1.8518518518518517E-2"/>
              <c:y val="2.492375953005872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34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17</cp:revision>
  <dcterms:created xsi:type="dcterms:W3CDTF">2016-12-03T12:44:00Z</dcterms:created>
  <dcterms:modified xsi:type="dcterms:W3CDTF">2016-12-14T22:13:00Z</dcterms:modified>
</cp:coreProperties>
</file>